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1ACB0C2" w14:textId="75270E6B" w:rsidR="008E308B" w:rsidRDefault="004E5121" w:rsidP="004A44C4">
      <w:pPr>
        <w:jc w:val="center"/>
        <w:rPr>
          <w:rFonts w:ascii="Arial" w:hAnsi="Arial" w:cs="Arial"/>
          <w:b/>
          <w:szCs w:val="24"/>
          <w:lang w:val="en-GB"/>
        </w:rPr>
      </w:pPr>
      <w:r>
        <w:rPr>
          <w:rFonts w:ascii="Arial" w:hAnsi="Arial" w:cs="Arial"/>
          <w:b/>
          <w:noProof/>
          <w:szCs w:val="24"/>
          <w:lang w:val="en-GB"/>
        </w:rPr>
        <w:drawing>
          <wp:inline distT="0" distB="0" distL="0" distR="0" wp14:anchorId="0F3C2692" wp14:editId="7281B5C4">
            <wp:extent cx="2005965" cy="10058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5965" cy="1005840"/>
                    </a:xfrm>
                    <a:prstGeom prst="rect">
                      <a:avLst/>
                    </a:prstGeom>
                    <a:noFill/>
                  </pic:spPr>
                </pic:pic>
              </a:graphicData>
            </a:graphic>
          </wp:inline>
        </w:drawing>
      </w:r>
    </w:p>
    <w:p w14:paraId="216349AB" w14:textId="77777777" w:rsidR="008E308B" w:rsidRDefault="008E308B" w:rsidP="004A44C4">
      <w:pPr>
        <w:jc w:val="center"/>
        <w:rPr>
          <w:rFonts w:ascii="Arial" w:hAnsi="Arial" w:cs="Arial"/>
          <w:b/>
          <w:szCs w:val="24"/>
          <w:lang w:val="en-GB"/>
        </w:rPr>
      </w:pPr>
    </w:p>
    <w:p w14:paraId="3190F224" w14:textId="6905DFB0" w:rsidR="004A44C4" w:rsidRPr="008E308B" w:rsidRDefault="008E308B" w:rsidP="004A44C4">
      <w:pPr>
        <w:jc w:val="center"/>
        <w:rPr>
          <w:rFonts w:ascii="Arial" w:hAnsi="Arial" w:cs="Arial"/>
          <w:b/>
          <w:szCs w:val="24"/>
          <w:lang w:val="en-GB"/>
        </w:rPr>
      </w:pPr>
      <w:r w:rsidRPr="008E308B">
        <w:rPr>
          <w:rFonts w:ascii="Arial" w:hAnsi="Arial" w:cs="Arial"/>
          <w:b/>
          <w:szCs w:val="24"/>
          <w:lang w:val="en-GB"/>
        </w:rPr>
        <w:t>ACTIONS TAKEN AS A RESULT OF 2026 RMG ADC</w:t>
      </w:r>
    </w:p>
    <w:p w14:paraId="47727ECC" w14:textId="787A5455" w:rsidR="00034F82" w:rsidRPr="00DC1C9C" w:rsidRDefault="00034F82" w:rsidP="004A44C4">
      <w:pPr>
        <w:jc w:val="center"/>
        <w:rPr>
          <w:rFonts w:ascii="Arial" w:hAnsi="Arial" w:cs="Arial"/>
          <w:b/>
          <w:szCs w:val="24"/>
          <w:lang w:val="en-GB"/>
        </w:rPr>
      </w:pPr>
      <w:r w:rsidRPr="00DC1C9C">
        <w:rPr>
          <w:rFonts w:ascii="Arial" w:hAnsi="Arial" w:cs="Arial"/>
          <w:b/>
          <w:szCs w:val="24"/>
          <w:lang w:val="en-GB"/>
        </w:rPr>
        <w:t xml:space="preserve">As updated on </w:t>
      </w:r>
      <w:r w:rsidR="00DC1C9C" w:rsidRPr="00DC1C9C">
        <w:rPr>
          <w:rFonts w:ascii="Arial" w:hAnsi="Arial" w:cs="Arial"/>
          <w:b/>
          <w:szCs w:val="24"/>
          <w:lang w:val="en-GB"/>
        </w:rPr>
        <w:t>21</w:t>
      </w:r>
      <w:r w:rsidRPr="00DC1C9C">
        <w:rPr>
          <w:rFonts w:ascii="Arial" w:hAnsi="Arial" w:cs="Arial"/>
          <w:b/>
          <w:szCs w:val="24"/>
          <w:lang w:val="en-GB"/>
        </w:rPr>
        <w:t xml:space="preserve"> </w:t>
      </w:r>
      <w:r w:rsidR="00CE6A46" w:rsidRPr="00DC1C9C">
        <w:rPr>
          <w:rFonts w:ascii="Arial" w:hAnsi="Arial" w:cs="Arial"/>
          <w:b/>
          <w:szCs w:val="24"/>
          <w:lang w:val="en-GB"/>
        </w:rPr>
        <w:t>April</w:t>
      </w:r>
      <w:r w:rsidRPr="00DC1C9C">
        <w:rPr>
          <w:rFonts w:ascii="Arial" w:hAnsi="Arial" w:cs="Arial"/>
          <w:b/>
          <w:szCs w:val="24"/>
          <w:lang w:val="en-GB"/>
        </w:rPr>
        <w:t xml:space="preserve"> 2026</w:t>
      </w:r>
    </w:p>
    <w:p w14:paraId="6E13CB74" w14:textId="77777777" w:rsidR="004A44C4" w:rsidRPr="008E308B" w:rsidRDefault="004A44C4" w:rsidP="004A44C4">
      <w:pPr>
        <w:jc w:val="center"/>
        <w:rPr>
          <w:rFonts w:ascii="Arial" w:hAnsi="Arial" w:cs="Arial"/>
          <w:b/>
          <w:szCs w:val="24"/>
          <w:lang w:val="en-GB"/>
        </w:rPr>
      </w:pP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6946"/>
        <w:gridCol w:w="1418"/>
      </w:tblGrid>
      <w:tr w:rsidR="004A44C4" w:rsidRPr="00A02374" w14:paraId="7CC966C2" w14:textId="77777777" w:rsidTr="00094EA0">
        <w:tc>
          <w:tcPr>
            <w:tcW w:w="1305" w:type="dxa"/>
            <w:tcMar>
              <w:left w:w="85" w:type="dxa"/>
              <w:right w:w="85" w:type="dxa"/>
            </w:tcMar>
          </w:tcPr>
          <w:p w14:paraId="7F096BD8" w14:textId="77777777" w:rsidR="004A44C4" w:rsidRPr="00A02374" w:rsidRDefault="004A44C4">
            <w:pPr>
              <w:spacing w:line="280" w:lineRule="exact"/>
              <w:jc w:val="center"/>
              <w:rPr>
                <w:rFonts w:asciiTheme="minorHAnsi" w:hAnsiTheme="minorHAnsi" w:cstheme="minorHAnsi"/>
                <w:b/>
                <w:szCs w:val="24"/>
                <w:lang w:val="en-GB"/>
              </w:rPr>
            </w:pPr>
            <w:r w:rsidRPr="00A02374">
              <w:rPr>
                <w:rFonts w:asciiTheme="minorHAnsi" w:hAnsiTheme="minorHAnsi" w:cstheme="minorHAnsi"/>
                <w:b/>
                <w:szCs w:val="24"/>
                <w:lang w:val="en-GB"/>
              </w:rPr>
              <w:t>MOTION</w:t>
            </w:r>
          </w:p>
        </w:tc>
        <w:tc>
          <w:tcPr>
            <w:tcW w:w="6946" w:type="dxa"/>
            <w:tcMar>
              <w:left w:w="85" w:type="dxa"/>
              <w:right w:w="85" w:type="dxa"/>
            </w:tcMar>
          </w:tcPr>
          <w:p w14:paraId="277B2A6B" w14:textId="77777777" w:rsidR="004A44C4" w:rsidRPr="00A02374" w:rsidRDefault="004A44C4">
            <w:pPr>
              <w:spacing w:line="280" w:lineRule="exact"/>
              <w:rPr>
                <w:rFonts w:ascii="Calibri" w:hAnsi="Calibri"/>
                <w:szCs w:val="24"/>
                <w:lang w:val="en-GB"/>
              </w:rPr>
            </w:pPr>
          </w:p>
        </w:tc>
        <w:tc>
          <w:tcPr>
            <w:tcW w:w="1418" w:type="dxa"/>
            <w:tcMar>
              <w:left w:w="85" w:type="dxa"/>
              <w:right w:w="85" w:type="dxa"/>
            </w:tcMar>
          </w:tcPr>
          <w:p w14:paraId="3B17028B" w14:textId="77777777" w:rsidR="004A44C4" w:rsidRPr="00A02374" w:rsidRDefault="004A44C4">
            <w:pPr>
              <w:spacing w:line="280" w:lineRule="exact"/>
              <w:jc w:val="center"/>
              <w:rPr>
                <w:rFonts w:ascii="Calibri" w:hAnsi="Calibri"/>
                <w:b/>
                <w:szCs w:val="24"/>
                <w:lang w:val="en-GB"/>
              </w:rPr>
            </w:pPr>
            <w:r w:rsidRPr="00A02374">
              <w:rPr>
                <w:rFonts w:ascii="Calibri" w:hAnsi="Calibri"/>
                <w:b/>
                <w:szCs w:val="24"/>
                <w:lang w:val="en-GB"/>
              </w:rPr>
              <w:t>STATUS</w:t>
            </w:r>
          </w:p>
        </w:tc>
      </w:tr>
      <w:tr w:rsidR="004A44C4" w:rsidRPr="00A02374" w14:paraId="3291D60D" w14:textId="77777777" w:rsidTr="00FE58D6">
        <w:tc>
          <w:tcPr>
            <w:tcW w:w="1305" w:type="dxa"/>
            <w:tcBorders>
              <w:bottom w:val="single" w:sz="4" w:space="0" w:color="auto"/>
            </w:tcBorders>
            <w:tcMar>
              <w:left w:w="85" w:type="dxa"/>
              <w:right w:w="85" w:type="dxa"/>
            </w:tcMar>
            <w:vAlign w:val="center"/>
          </w:tcPr>
          <w:p w14:paraId="55781FA1" w14:textId="77777777" w:rsidR="004A44C4" w:rsidRPr="00A02374" w:rsidRDefault="004A44C4">
            <w:pPr>
              <w:spacing w:line="280" w:lineRule="exact"/>
              <w:jc w:val="center"/>
              <w:rPr>
                <w:rFonts w:asciiTheme="minorHAnsi" w:hAnsiTheme="minorHAnsi" w:cstheme="minorHAnsi"/>
                <w:b/>
                <w:szCs w:val="24"/>
                <w:lang w:val="en-GB"/>
              </w:rPr>
            </w:pPr>
            <w:r w:rsidRPr="00A02374">
              <w:rPr>
                <w:rFonts w:asciiTheme="minorHAnsi" w:hAnsiTheme="minorHAnsi" w:cstheme="minorHAnsi"/>
                <w:b/>
                <w:szCs w:val="24"/>
                <w:lang w:val="en-GB"/>
              </w:rPr>
              <w:t>Section A:</w:t>
            </w:r>
          </w:p>
        </w:tc>
        <w:tc>
          <w:tcPr>
            <w:tcW w:w="6946" w:type="dxa"/>
            <w:tcMar>
              <w:left w:w="85" w:type="dxa"/>
              <w:right w:w="85" w:type="dxa"/>
            </w:tcMar>
            <w:vAlign w:val="center"/>
          </w:tcPr>
          <w:p w14:paraId="7C6246C4" w14:textId="77777777" w:rsidR="004A44C4" w:rsidRPr="00A02374" w:rsidRDefault="004A44C4">
            <w:pPr>
              <w:spacing w:line="280" w:lineRule="exact"/>
              <w:rPr>
                <w:rFonts w:ascii="Calibri" w:hAnsi="Calibri"/>
                <w:b/>
                <w:szCs w:val="24"/>
                <w:lang w:val="en-GB"/>
              </w:rPr>
            </w:pPr>
            <w:r w:rsidRPr="00A02374">
              <w:rPr>
                <w:rFonts w:ascii="Calibri" w:hAnsi="Calibri"/>
                <w:b/>
                <w:szCs w:val="24"/>
                <w:lang w:val="en-GB"/>
              </w:rPr>
              <w:t>Climate Change</w:t>
            </w:r>
          </w:p>
        </w:tc>
        <w:tc>
          <w:tcPr>
            <w:tcW w:w="1418" w:type="dxa"/>
            <w:tcMar>
              <w:left w:w="85" w:type="dxa"/>
              <w:right w:w="85" w:type="dxa"/>
            </w:tcMar>
          </w:tcPr>
          <w:p w14:paraId="6141C0E4" w14:textId="77777777" w:rsidR="004A44C4" w:rsidRPr="00A02374" w:rsidRDefault="004A44C4">
            <w:pPr>
              <w:spacing w:line="280" w:lineRule="exact"/>
              <w:rPr>
                <w:rFonts w:ascii="Calibri" w:hAnsi="Calibri"/>
                <w:b/>
                <w:szCs w:val="24"/>
                <w:lang w:val="en-GB"/>
              </w:rPr>
            </w:pPr>
          </w:p>
        </w:tc>
      </w:tr>
      <w:tr w:rsidR="004A44C4" w:rsidRPr="00A02374" w14:paraId="154FCC55" w14:textId="77777777" w:rsidTr="00FE58D6">
        <w:tc>
          <w:tcPr>
            <w:tcW w:w="1305" w:type="dxa"/>
            <w:tcBorders>
              <w:bottom w:val="single" w:sz="4" w:space="0" w:color="auto"/>
            </w:tcBorders>
            <w:tcMar>
              <w:left w:w="85" w:type="dxa"/>
              <w:right w:w="85" w:type="dxa"/>
            </w:tcMar>
          </w:tcPr>
          <w:p w14:paraId="1FCD87CB" w14:textId="77777777" w:rsidR="004A44C4" w:rsidRPr="00A02374" w:rsidRDefault="004A44C4">
            <w:pPr>
              <w:spacing w:line="280" w:lineRule="exact"/>
              <w:jc w:val="center"/>
              <w:rPr>
                <w:rFonts w:asciiTheme="minorHAnsi" w:hAnsiTheme="minorHAnsi" w:cstheme="minorHAnsi"/>
                <w:b/>
                <w:szCs w:val="24"/>
                <w:lang w:val="en-GB"/>
              </w:rPr>
            </w:pPr>
            <w:r w:rsidRPr="00A02374">
              <w:rPr>
                <w:rFonts w:asciiTheme="minorHAnsi" w:hAnsiTheme="minorHAnsi" w:cstheme="minorHAnsi"/>
                <w:b/>
                <w:szCs w:val="24"/>
                <w:lang w:val="en-GB"/>
              </w:rPr>
              <w:t>1</w:t>
            </w:r>
          </w:p>
        </w:tc>
        <w:tc>
          <w:tcPr>
            <w:tcW w:w="6946" w:type="dxa"/>
            <w:tcMar>
              <w:left w:w="85" w:type="dxa"/>
              <w:right w:w="85" w:type="dxa"/>
            </w:tcMar>
            <w:vAlign w:val="center"/>
          </w:tcPr>
          <w:p w14:paraId="181846AB" w14:textId="1C511755" w:rsidR="00A02374" w:rsidRPr="00A02374" w:rsidRDefault="00A02374" w:rsidP="00A02374">
            <w:pPr>
              <w:pStyle w:val="TableContents"/>
              <w:spacing w:line="240" w:lineRule="auto"/>
              <w:rPr>
                <w:rFonts w:asciiTheme="minorHAnsi" w:hAnsiTheme="minorHAnsi" w:cstheme="minorHAnsi"/>
                <w:sz w:val="24"/>
                <w:szCs w:val="24"/>
              </w:rPr>
            </w:pPr>
            <w:r w:rsidRPr="00A02374">
              <w:rPr>
                <w:rFonts w:asciiTheme="minorHAnsi" w:hAnsiTheme="minorHAnsi" w:cstheme="minorHAnsi"/>
                <w:sz w:val="24"/>
                <w:szCs w:val="24"/>
              </w:rPr>
              <w:t>Noting the slow progress world-wide, including the anti-green policies of some countries, Conference instructs the National Committee to press the NEC to raise with the UK Government and the TUC, the need to take active steps in the UK and elsewhere to counter global warming.</w:t>
            </w:r>
          </w:p>
          <w:p w14:paraId="56B304DF" w14:textId="77777777" w:rsidR="004A44C4" w:rsidRDefault="004A44C4" w:rsidP="00686E12">
            <w:pPr>
              <w:spacing w:line="280" w:lineRule="exact"/>
              <w:rPr>
                <w:rFonts w:ascii="Calibri" w:hAnsi="Calibri"/>
                <w:bCs/>
                <w:szCs w:val="24"/>
                <w:lang w:val="en-GB"/>
              </w:rPr>
            </w:pPr>
          </w:p>
          <w:p w14:paraId="04783F9B" w14:textId="2369C5F8" w:rsidR="00B96D7D" w:rsidRPr="00A02374" w:rsidRDefault="00B96D7D" w:rsidP="00686E12">
            <w:pPr>
              <w:spacing w:line="280" w:lineRule="exact"/>
              <w:rPr>
                <w:rFonts w:ascii="Calibri" w:hAnsi="Calibri"/>
                <w:bCs/>
                <w:szCs w:val="24"/>
                <w:lang w:val="en-GB"/>
              </w:rPr>
            </w:pPr>
            <w:r w:rsidRPr="00B96D7D">
              <w:rPr>
                <w:rFonts w:ascii="Calibri" w:hAnsi="Calibri"/>
                <w:b/>
                <w:szCs w:val="24"/>
                <w:lang w:val="en-GB"/>
              </w:rPr>
              <w:t>Action</w:t>
            </w:r>
            <w:r>
              <w:rPr>
                <w:rFonts w:ascii="Calibri" w:hAnsi="Calibri"/>
                <w:bCs/>
                <w:szCs w:val="24"/>
                <w:lang w:val="en-GB"/>
              </w:rPr>
              <w:t>: Motion passed on to the NEC</w:t>
            </w:r>
            <w:r w:rsidR="00DC1C9C">
              <w:rPr>
                <w:rFonts w:ascii="Calibri" w:hAnsi="Calibri"/>
                <w:bCs/>
                <w:szCs w:val="24"/>
                <w:lang w:val="en-GB"/>
              </w:rPr>
              <w:t>.</w:t>
            </w:r>
            <w:r w:rsidR="003637F5">
              <w:rPr>
                <w:rFonts w:ascii="Calibri" w:hAnsi="Calibri"/>
                <w:bCs/>
                <w:szCs w:val="24"/>
                <w:lang w:val="en-GB"/>
              </w:rPr>
              <w:t xml:space="preserve">  (An introductory note said the RMG NC is not disputing actions taken by Prospect thus far.)</w:t>
            </w:r>
            <w:r w:rsidR="007A5CFC">
              <w:t xml:space="preserve">  The </w:t>
            </w:r>
            <w:r w:rsidR="007A5CFC" w:rsidRPr="007A5CFC">
              <w:rPr>
                <w:rFonts w:ascii="Calibri" w:hAnsi="Calibri"/>
                <w:bCs/>
                <w:szCs w:val="24"/>
                <w:lang w:val="en-GB"/>
              </w:rPr>
              <w:t xml:space="preserve">Group Secretary has committed to </w:t>
            </w:r>
            <w:proofErr w:type="gramStart"/>
            <w:r w:rsidR="007A5CFC" w:rsidRPr="007A5CFC">
              <w:rPr>
                <w:rFonts w:ascii="Calibri" w:hAnsi="Calibri"/>
                <w:bCs/>
                <w:szCs w:val="24"/>
                <w:lang w:val="en-GB"/>
              </w:rPr>
              <w:t>give</w:t>
            </w:r>
            <w:proofErr w:type="gramEnd"/>
            <w:r w:rsidR="007A5CFC" w:rsidRPr="007A5CFC">
              <w:rPr>
                <w:rFonts w:ascii="Calibri" w:hAnsi="Calibri"/>
                <w:bCs/>
                <w:szCs w:val="24"/>
                <w:lang w:val="en-GB"/>
              </w:rPr>
              <w:t xml:space="preserve"> a progress report at NC meetings.</w:t>
            </w:r>
          </w:p>
        </w:tc>
        <w:tc>
          <w:tcPr>
            <w:tcW w:w="1418" w:type="dxa"/>
            <w:tcMar>
              <w:left w:w="85" w:type="dxa"/>
              <w:right w:w="85" w:type="dxa"/>
            </w:tcMar>
          </w:tcPr>
          <w:p w14:paraId="142CCA0B" w14:textId="205544D2" w:rsidR="004A44C4" w:rsidRPr="00A02374" w:rsidRDefault="008044C6">
            <w:pPr>
              <w:spacing w:line="280" w:lineRule="exact"/>
              <w:rPr>
                <w:rFonts w:ascii="Calibri" w:hAnsi="Calibri"/>
                <w:b/>
                <w:szCs w:val="24"/>
                <w:lang w:val="en-GB"/>
              </w:rPr>
            </w:pPr>
            <w:r>
              <w:rPr>
                <w:rFonts w:ascii="Calibri" w:hAnsi="Calibri"/>
                <w:b/>
                <w:szCs w:val="24"/>
                <w:lang w:val="en-GB"/>
              </w:rPr>
              <w:t>Carried</w:t>
            </w:r>
          </w:p>
        </w:tc>
      </w:tr>
      <w:tr w:rsidR="00686E12" w:rsidRPr="00A02374" w14:paraId="78305EC0" w14:textId="77777777" w:rsidTr="00FE58D6">
        <w:tc>
          <w:tcPr>
            <w:tcW w:w="1305" w:type="dxa"/>
            <w:tcMar>
              <w:left w:w="85" w:type="dxa"/>
              <w:right w:w="85" w:type="dxa"/>
            </w:tcMar>
          </w:tcPr>
          <w:p w14:paraId="4CDE9CB0" w14:textId="72AFD28D" w:rsidR="00686E12" w:rsidRPr="00A02374" w:rsidRDefault="00686E12">
            <w:pPr>
              <w:spacing w:line="280" w:lineRule="exact"/>
              <w:jc w:val="center"/>
              <w:rPr>
                <w:rFonts w:asciiTheme="minorHAnsi" w:hAnsiTheme="minorHAnsi" w:cstheme="minorHAnsi"/>
                <w:b/>
                <w:szCs w:val="24"/>
                <w:lang w:val="en-GB"/>
              </w:rPr>
            </w:pPr>
            <w:r w:rsidRPr="00A02374">
              <w:rPr>
                <w:rFonts w:asciiTheme="minorHAnsi" w:hAnsiTheme="minorHAnsi" w:cstheme="minorHAnsi"/>
                <w:b/>
                <w:szCs w:val="24"/>
                <w:lang w:val="en-GB"/>
              </w:rPr>
              <w:t>2</w:t>
            </w:r>
          </w:p>
        </w:tc>
        <w:tc>
          <w:tcPr>
            <w:tcW w:w="6946" w:type="dxa"/>
            <w:tcMar>
              <w:left w:w="85" w:type="dxa"/>
              <w:right w:w="85" w:type="dxa"/>
            </w:tcMar>
            <w:vAlign w:val="center"/>
          </w:tcPr>
          <w:p w14:paraId="20BE691B" w14:textId="77777777" w:rsidR="00A02374" w:rsidRPr="00A02374" w:rsidRDefault="00A02374" w:rsidP="00A02374">
            <w:pPr>
              <w:rPr>
                <w:rFonts w:asciiTheme="minorHAnsi" w:hAnsiTheme="minorHAnsi" w:cstheme="minorHAnsi"/>
                <w:szCs w:val="24"/>
                <w:lang w:val="en-GB"/>
              </w:rPr>
            </w:pPr>
            <w:r w:rsidRPr="00A02374">
              <w:rPr>
                <w:rFonts w:asciiTheme="minorHAnsi" w:hAnsiTheme="minorHAnsi" w:cstheme="minorHAnsi"/>
                <w:szCs w:val="24"/>
                <w:lang w:val="en-GB"/>
              </w:rPr>
              <w:t>Conference notes that there is currently a Trade Union Year of Action on Climate Change, which began in autumn 2025 and which is endorsed by a motion passed at TUC Conference in 2024 and supported by the national conferences / executive committees of individual unions.</w:t>
            </w:r>
          </w:p>
          <w:p w14:paraId="43D2F6B7" w14:textId="77777777" w:rsidR="00A02374" w:rsidRPr="00A02374" w:rsidRDefault="00A02374" w:rsidP="00A02374">
            <w:pPr>
              <w:rPr>
                <w:rFonts w:asciiTheme="minorHAnsi" w:hAnsiTheme="minorHAnsi" w:cstheme="minorHAnsi"/>
                <w:szCs w:val="24"/>
                <w:lang w:val="en-GB"/>
              </w:rPr>
            </w:pPr>
          </w:p>
          <w:p w14:paraId="0F4FB661" w14:textId="77777777" w:rsidR="00A02374" w:rsidRPr="00A02374" w:rsidRDefault="00A02374" w:rsidP="00A02374">
            <w:pPr>
              <w:rPr>
                <w:rFonts w:asciiTheme="minorHAnsi" w:hAnsiTheme="minorHAnsi" w:cstheme="minorHAnsi"/>
                <w:szCs w:val="24"/>
                <w:lang w:val="en-GB"/>
              </w:rPr>
            </w:pPr>
            <w:r w:rsidRPr="00A02374">
              <w:rPr>
                <w:rFonts w:asciiTheme="minorHAnsi" w:hAnsiTheme="minorHAnsi" w:cstheme="minorHAnsi"/>
                <w:szCs w:val="24"/>
                <w:lang w:val="en-GB"/>
              </w:rPr>
              <w:t>Conference therefore instructs National Committee to submit the following motion to the 2026 Prospect National Conference:</w:t>
            </w:r>
          </w:p>
          <w:p w14:paraId="0014704C" w14:textId="77777777" w:rsidR="00A02374" w:rsidRPr="00A02374" w:rsidRDefault="00A02374" w:rsidP="00A02374">
            <w:pPr>
              <w:rPr>
                <w:rFonts w:asciiTheme="minorHAnsi" w:hAnsiTheme="minorHAnsi" w:cstheme="minorHAnsi"/>
                <w:szCs w:val="24"/>
                <w:lang w:val="en-GB"/>
              </w:rPr>
            </w:pPr>
            <w:r w:rsidRPr="00A02374">
              <w:rPr>
                <w:rFonts w:asciiTheme="minorHAnsi" w:hAnsiTheme="minorHAnsi" w:cstheme="minorHAnsi"/>
                <w:szCs w:val="24"/>
                <w:lang w:val="en-GB"/>
              </w:rPr>
              <w:t>“This Conference instructs the NEC: </w:t>
            </w:r>
          </w:p>
          <w:p w14:paraId="2B24CAE8" w14:textId="77777777" w:rsidR="00A02374" w:rsidRPr="00A02374" w:rsidRDefault="00A02374" w:rsidP="00A02374">
            <w:pPr>
              <w:widowControl/>
              <w:numPr>
                <w:ilvl w:val="0"/>
                <w:numId w:val="3"/>
              </w:numPr>
              <w:tabs>
                <w:tab w:val="left" w:pos="1134"/>
                <w:tab w:val="left" w:pos="6861"/>
              </w:tabs>
              <w:suppressAutoHyphens/>
              <w:rPr>
                <w:rFonts w:asciiTheme="minorHAnsi" w:hAnsiTheme="minorHAnsi" w:cstheme="minorHAnsi"/>
                <w:szCs w:val="24"/>
                <w:lang w:val="en-GB"/>
              </w:rPr>
            </w:pPr>
            <w:r w:rsidRPr="00A02374">
              <w:rPr>
                <w:rFonts w:asciiTheme="minorHAnsi" w:hAnsiTheme="minorHAnsi" w:cstheme="minorHAnsi"/>
                <w:szCs w:val="24"/>
                <w:lang w:val="en-GB"/>
              </w:rPr>
              <w:t>to support the current Trade Union Year of Action on Climate Change. </w:t>
            </w:r>
          </w:p>
          <w:p w14:paraId="3D890212" w14:textId="77777777" w:rsidR="00A02374" w:rsidRPr="00A02374" w:rsidRDefault="00A02374" w:rsidP="00A02374">
            <w:pPr>
              <w:widowControl/>
              <w:numPr>
                <w:ilvl w:val="0"/>
                <w:numId w:val="3"/>
              </w:numPr>
              <w:tabs>
                <w:tab w:val="left" w:pos="1134"/>
                <w:tab w:val="left" w:pos="6861"/>
              </w:tabs>
              <w:suppressAutoHyphens/>
              <w:rPr>
                <w:rFonts w:asciiTheme="minorHAnsi" w:hAnsiTheme="minorHAnsi" w:cstheme="minorHAnsi"/>
                <w:szCs w:val="24"/>
                <w:lang w:val="en-GB"/>
              </w:rPr>
            </w:pPr>
            <w:r w:rsidRPr="00A02374">
              <w:rPr>
                <w:rFonts w:asciiTheme="minorHAnsi" w:hAnsiTheme="minorHAnsi" w:cstheme="minorHAnsi"/>
                <w:szCs w:val="24"/>
                <w:lang w:val="en-GB"/>
              </w:rPr>
              <w:t>to inform members about the initiatives they are organising or supporting during the year of action.</w:t>
            </w:r>
          </w:p>
          <w:p w14:paraId="4C214135" w14:textId="77777777" w:rsidR="00A02374" w:rsidRPr="00A02374" w:rsidRDefault="00A02374" w:rsidP="00A02374">
            <w:pPr>
              <w:widowControl/>
              <w:numPr>
                <w:ilvl w:val="0"/>
                <w:numId w:val="3"/>
              </w:numPr>
              <w:tabs>
                <w:tab w:val="left" w:pos="1134"/>
                <w:tab w:val="left" w:pos="6861"/>
              </w:tabs>
              <w:suppressAutoHyphens/>
              <w:rPr>
                <w:rFonts w:asciiTheme="minorHAnsi" w:hAnsiTheme="minorHAnsi" w:cstheme="minorHAnsi"/>
                <w:szCs w:val="24"/>
                <w:lang w:val="en-GB"/>
              </w:rPr>
            </w:pPr>
            <w:r w:rsidRPr="00A02374">
              <w:rPr>
                <w:rFonts w:asciiTheme="minorHAnsi" w:hAnsiTheme="minorHAnsi" w:cstheme="minorHAnsi"/>
                <w:szCs w:val="24"/>
                <w:lang w:val="en-GB"/>
              </w:rPr>
              <w:t> to allocate resources and members of staff to work on the Year of Action and to liaise with other unions and campaigns to make their work as effective as possible.</w:t>
            </w:r>
          </w:p>
          <w:p w14:paraId="32CF71D6" w14:textId="77777777" w:rsidR="00A02374" w:rsidRPr="00A02374" w:rsidRDefault="00A02374" w:rsidP="00A02374">
            <w:pPr>
              <w:widowControl/>
              <w:numPr>
                <w:ilvl w:val="0"/>
                <w:numId w:val="3"/>
              </w:numPr>
              <w:tabs>
                <w:tab w:val="left" w:pos="1134"/>
                <w:tab w:val="left" w:pos="6861"/>
              </w:tabs>
              <w:suppressAutoHyphens/>
              <w:rPr>
                <w:rFonts w:asciiTheme="minorHAnsi" w:hAnsiTheme="minorHAnsi" w:cstheme="minorHAnsi"/>
                <w:szCs w:val="24"/>
                <w:lang w:val="en-GB"/>
              </w:rPr>
            </w:pPr>
            <w:r w:rsidRPr="00A02374">
              <w:rPr>
                <w:rFonts w:asciiTheme="minorHAnsi" w:hAnsiTheme="minorHAnsi" w:cstheme="minorHAnsi"/>
                <w:szCs w:val="24"/>
                <w:lang w:val="en-GB"/>
              </w:rPr>
              <w:t>to affiliate Prospect to the Campaign against Climate Change.</w:t>
            </w:r>
          </w:p>
          <w:p w14:paraId="5B4EE194" w14:textId="77777777" w:rsidR="00A02374" w:rsidRPr="00A02374" w:rsidRDefault="00A02374" w:rsidP="00A02374">
            <w:pPr>
              <w:widowControl/>
              <w:numPr>
                <w:ilvl w:val="0"/>
                <w:numId w:val="3"/>
              </w:numPr>
              <w:tabs>
                <w:tab w:val="left" w:pos="1134"/>
                <w:tab w:val="left" w:pos="6861"/>
              </w:tabs>
              <w:suppressAutoHyphens/>
              <w:rPr>
                <w:rFonts w:asciiTheme="minorHAnsi" w:hAnsiTheme="minorHAnsi" w:cstheme="minorHAnsi"/>
                <w:szCs w:val="24"/>
                <w:lang w:val="en-GB"/>
              </w:rPr>
            </w:pPr>
            <w:r w:rsidRPr="00A02374">
              <w:rPr>
                <w:rFonts w:asciiTheme="minorHAnsi" w:hAnsiTheme="minorHAnsi" w:cstheme="minorHAnsi"/>
                <w:szCs w:val="24"/>
                <w:lang w:val="en-GB"/>
              </w:rPr>
              <w:t>to notify the Campaign against Climate Change Trade Union Group (CACCTU) of this motion.”</w:t>
            </w:r>
          </w:p>
          <w:p w14:paraId="165774BC" w14:textId="77777777" w:rsidR="004E5121" w:rsidRDefault="004E5121">
            <w:pPr>
              <w:spacing w:line="280" w:lineRule="exact"/>
              <w:rPr>
                <w:rFonts w:ascii="Calibri" w:hAnsi="Calibri"/>
                <w:bCs/>
                <w:szCs w:val="24"/>
                <w:lang w:val="en-GB"/>
              </w:rPr>
            </w:pPr>
          </w:p>
          <w:p w14:paraId="132DF25E" w14:textId="7198CA9F" w:rsidR="00686E12" w:rsidRPr="00A02374" w:rsidRDefault="004E5121">
            <w:pPr>
              <w:spacing w:line="280" w:lineRule="exact"/>
              <w:rPr>
                <w:rFonts w:ascii="Calibri" w:hAnsi="Calibri"/>
                <w:bCs/>
                <w:szCs w:val="24"/>
                <w:lang w:val="en-GB"/>
              </w:rPr>
            </w:pPr>
            <w:r w:rsidRPr="00D81EA0">
              <w:rPr>
                <w:rFonts w:ascii="Calibri" w:hAnsi="Calibri"/>
                <w:b/>
                <w:szCs w:val="24"/>
                <w:lang w:val="en-GB"/>
              </w:rPr>
              <w:t>Action</w:t>
            </w:r>
            <w:r>
              <w:rPr>
                <w:rFonts w:ascii="Calibri" w:hAnsi="Calibri"/>
                <w:bCs/>
                <w:szCs w:val="24"/>
                <w:lang w:val="en-GB"/>
              </w:rPr>
              <w:t>:</w:t>
            </w:r>
            <w:r w:rsidR="00D81EA0">
              <w:rPr>
                <w:rFonts w:ascii="Calibri" w:hAnsi="Calibri"/>
                <w:bCs/>
                <w:szCs w:val="24"/>
                <w:lang w:val="en-GB"/>
              </w:rPr>
              <w:t xml:space="preserve"> </w:t>
            </w:r>
            <w:r w:rsidR="00660F17">
              <w:rPr>
                <w:rFonts w:ascii="Calibri" w:hAnsi="Calibri"/>
                <w:bCs/>
                <w:szCs w:val="24"/>
                <w:lang w:val="en-GB"/>
              </w:rPr>
              <w:t xml:space="preserve">The NC views the proposed affiliation as unnecessary given that Prospect is actively involved in this work, both </w:t>
            </w:r>
            <w:proofErr w:type="gramStart"/>
            <w:r w:rsidR="00660F17">
              <w:rPr>
                <w:rFonts w:ascii="Calibri" w:hAnsi="Calibri"/>
                <w:bCs/>
                <w:szCs w:val="24"/>
                <w:lang w:val="en-GB"/>
              </w:rPr>
              <w:t>in its own right and</w:t>
            </w:r>
            <w:proofErr w:type="gramEnd"/>
            <w:r w:rsidR="00660F17">
              <w:rPr>
                <w:rFonts w:ascii="Calibri" w:hAnsi="Calibri"/>
                <w:bCs/>
                <w:szCs w:val="24"/>
                <w:lang w:val="en-GB"/>
              </w:rPr>
              <w:t xml:space="preserve"> through the TUC.  </w:t>
            </w:r>
            <w:r w:rsidR="00FD5C1E">
              <w:rPr>
                <w:rFonts w:ascii="Calibri" w:hAnsi="Calibri"/>
                <w:bCs/>
                <w:szCs w:val="24"/>
                <w:lang w:val="en-GB"/>
              </w:rPr>
              <w:t xml:space="preserve">The NC will publicise that work in the Retired </w:t>
            </w:r>
            <w:r w:rsidR="00FD5C1E">
              <w:rPr>
                <w:rFonts w:ascii="Calibri" w:hAnsi="Calibri"/>
                <w:bCs/>
                <w:szCs w:val="24"/>
                <w:lang w:val="en-GB"/>
              </w:rPr>
              <w:lastRenderedPageBreak/>
              <w:t xml:space="preserve">Members Bulletin and instruct </w:t>
            </w:r>
            <w:r w:rsidR="00660F17">
              <w:rPr>
                <w:rFonts w:ascii="Calibri" w:hAnsi="Calibri"/>
                <w:bCs/>
                <w:szCs w:val="24"/>
                <w:lang w:val="en-GB"/>
              </w:rPr>
              <w:t>RMG delegates</w:t>
            </w:r>
            <w:r w:rsidR="00FD5C1E">
              <w:rPr>
                <w:rFonts w:ascii="Calibri" w:hAnsi="Calibri"/>
                <w:bCs/>
                <w:szCs w:val="24"/>
                <w:lang w:val="en-GB"/>
              </w:rPr>
              <w:t xml:space="preserve"> to support all appropriate motions at the 2026 Prospect National Conference.</w:t>
            </w:r>
            <w:r w:rsidR="00034F82">
              <w:rPr>
                <w:rFonts w:ascii="Calibri" w:hAnsi="Calibri"/>
                <w:bCs/>
                <w:szCs w:val="24"/>
                <w:lang w:val="en-GB"/>
              </w:rPr>
              <w:t xml:space="preserve">  </w:t>
            </w:r>
            <w:r w:rsidR="00034F82" w:rsidRPr="003637F5">
              <w:rPr>
                <w:rFonts w:ascii="Calibri" w:hAnsi="Calibri"/>
                <w:bCs/>
                <w:szCs w:val="24"/>
                <w:lang w:val="en-GB"/>
              </w:rPr>
              <w:t>Group Secretary to ask for update on what Prospect is doing.</w:t>
            </w:r>
          </w:p>
        </w:tc>
        <w:tc>
          <w:tcPr>
            <w:tcW w:w="1418" w:type="dxa"/>
            <w:tcMar>
              <w:left w:w="85" w:type="dxa"/>
              <w:right w:w="85" w:type="dxa"/>
            </w:tcMar>
          </w:tcPr>
          <w:p w14:paraId="64B7BF3C" w14:textId="38B9FAC5" w:rsidR="00686E12" w:rsidRPr="00A02374" w:rsidRDefault="008044C6">
            <w:pPr>
              <w:spacing w:line="280" w:lineRule="exact"/>
              <w:rPr>
                <w:rFonts w:ascii="Calibri" w:hAnsi="Calibri"/>
                <w:b/>
                <w:szCs w:val="24"/>
                <w:lang w:val="en-GB"/>
              </w:rPr>
            </w:pPr>
            <w:r>
              <w:rPr>
                <w:rFonts w:ascii="Calibri" w:hAnsi="Calibri"/>
                <w:b/>
                <w:szCs w:val="24"/>
                <w:lang w:val="en-GB"/>
              </w:rPr>
              <w:lastRenderedPageBreak/>
              <w:t>Remitted</w:t>
            </w:r>
          </w:p>
        </w:tc>
      </w:tr>
      <w:tr w:rsidR="004A44C4" w:rsidRPr="00A02374" w14:paraId="71D75581" w14:textId="77777777" w:rsidTr="00FE58D6">
        <w:tc>
          <w:tcPr>
            <w:tcW w:w="1305" w:type="dxa"/>
            <w:tcBorders>
              <w:bottom w:val="single" w:sz="4" w:space="0" w:color="auto"/>
            </w:tcBorders>
            <w:tcMar>
              <w:left w:w="85" w:type="dxa"/>
              <w:right w:w="85" w:type="dxa"/>
            </w:tcMar>
          </w:tcPr>
          <w:p w14:paraId="315EA588" w14:textId="77777777" w:rsidR="004A44C4" w:rsidRPr="00A02374" w:rsidRDefault="004A44C4">
            <w:pPr>
              <w:keepNext/>
              <w:spacing w:line="280" w:lineRule="exact"/>
              <w:jc w:val="center"/>
              <w:rPr>
                <w:rFonts w:asciiTheme="minorHAnsi" w:hAnsiTheme="minorHAnsi" w:cstheme="minorHAnsi"/>
                <w:b/>
                <w:szCs w:val="24"/>
                <w:lang w:val="en-GB"/>
              </w:rPr>
            </w:pPr>
            <w:r w:rsidRPr="00A02374">
              <w:rPr>
                <w:rFonts w:asciiTheme="minorHAnsi" w:hAnsiTheme="minorHAnsi" w:cstheme="minorHAnsi"/>
                <w:b/>
                <w:szCs w:val="24"/>
                <w:lang w:val="en-GB"/>
              </w:rPr>
              <w:t>Section B:</w:t>
            </w:r>
          </w:p>
        </w:tc>
        <w:tc>
          <w:tcPr>
            <w:tcW w:w="6946" w:type="dxa"/>
            <w:tcMar>
              <w:left w:w="85" w:type="dxa"/>
              <w:right w:w="85" w:type="dxa"/>
            </w:tcMar>
            <w:vAlign w:val="center"/>
          </w:tcPr>
          <w:p w14:paraId="17012548" w14:textId="030E916F" w:rsidR="004A44C4" w:rsidRPr="00A02374" w:rsidRDefault="00686E12">
            <w:pPr>
              <w:keepNext/>
              <w:spacing w:line="280" w:lineRule="exact"/>
              <w:rPr>
                <w:rFonts w:ascii="Calibri" w:hAnsi="Calibri"/>
                <w:b/>
                <w:szCs w:val="24"/>
                <w:lang w:val="en-GB"/>
              </w:rPr>
            </w:pPr>
            <w:r w:rsidRPr="00A02374">
              <w:rPr>
                <w:rFonts w:ascii="Calibri" w:hAnsi="Calibri"/>
                <w:b/>
                <w:szCs w:val="24"/>
                <w:lang w:val="en-GB"/>
              </w:rPr>
              <w:t>Pensions</w:t>
            </w:r>
          </w:p>
        </w:tc>
        <w:tc>
          <w:tcPr>
            <w:tcW w:w="1418" w:type="dxa"/>
            <w:tcMar>
              <w:left w:w="85" w:type="dxa"/>
              <w:right w:w="85" w:type="dxa"/>
            </w:tcMar>
          </w:tcPr>
          <w:p w14:paraId="21FFEA97" w14:textId="77777777" w:rsidR="004A44C4" w:rsidRPr="00A02374" w:rsidRDefault="004A44C4">
            <w:pPr>
              <w:keepNext/>
              <w:spacing w:line="280" w:lineRule="exact"/>
              <w:jc w:val="center"/>
              <w:rPr>
                <w:rFonts w:ascii="Calibri" w:hAnsi="Calibri"/>
                <w:b/>
                <w:szCs w:val="24"/>
                <w:lang w:val="en-GB"/>
              </w:rPr>
            </w:pPr>
          </w:p>
        </w:tc>
      </w:tr>
      <w:tr w:rsidR="004A44C4" w:rsidRPr="00A02374" w14:paraId="3D59EB2B" w14:textId="77777777" w:rsidTr="00FE58D6">
        <w:tc>
          <w:tcPr>
            <w:tcW w:w="1305" w:type="dxa"/>
            <w:tcMar>
              <w:left w:w="85" w:type="dxa"/>
              <w:right w:w="85" w:type="dxa"/>
            </w:tcMar>
          </w:tcPr>
          <w:p w14:paraId="6CF82DF9" w14:textId="0AF5BA98" w:rsidR="004A44C4" w:rsidRPr="00A02374" w:rsidRDefault="00686E12">
            <w:pPr>
              <w:spacing w:line="280" w:lineRule="exact"/>
              <w:jc w:val="center"/>
              <w:rPr>
                <w:rFonts w:asciiTheme="minorHAnsi" w:hAnsiTheme="minorHAnsi" w:cstheme="minorHAnsi"/>
                <w:b/>
                <w:szCs w:val="24"/>
                <w:lang w:val="en-GB"/>
              </w:rPr>
            </w:pPr>
            <w:r w:rsidRPr="00A02374">
              <w:rPr>
                <w:rFonts w:asciiTheme="minorHAnsi" w:hAnsiTheme="minorHAnsi" w:cstheme="minorHAnsi"/>
                <w:b/>
                <w:szCs w:val="24"/>
                <w:lang w:val="en-GB"/>
              </w:rPr>
              <w:t>3</w:t>
            </w:r>
          </w:p>
        </w:tc>
        <w:tc>
          <w:tcPr>
            <w:tcW w:w="6946" w:type="dxa"/>
            <w:tcMar>
              <w:left w:w="85" w:type="dxa"/>
              <w:right w:w="85" w:type="dxa"/>
            </w:tcMar>
          </w:tcPr>
          <w:p w14:paraId="5414ACE0" w14:textId="77777777" w:rsidR="00A02374" w:rsidRPr="00A02374" w:rsidRDefault="00A02374" w:rsidP="00A02374">
            <w:pPr>
              <w:rPr>
                <w:rFonts w:asciiTheme="minorHAnsi" w:hAnsiTheme="minorHAnsi" w:cstheme="minorHAnsi"/>
                <w:szCs w:val="24"/>
                <w:lang w:val="en-GB"/>
              </w:rPr>
            </w:pPr>
            <w:r w:rsidRPr="00A02374">
              <w:rPr>
                <w:rFonts w:asciiTheme="minorHAnsi" w:hAnsiTheme="minorHAnsi" w:cstheme="minorHAnsi"/>
                <w:szCs w:val="24"/>
                <w:lang w:val="en-GB"/>
              </w:rPr>
              <w:t>This Conference notes the ever-widening gap in income provided by the two State Pension systems. It views that large difference, as an unacceptable anomaly, giving rise to an unnecessary pressure on the ability of the older Pensioners to maintain a reasonable lifestyle. The Government's solution of 'Pension Credit application', as a blatant form of 'Means Testing', is an insult to the long-standing Residents of England. Whom, at the Governments direction, are now required to 'go begging' for the remuneration others readily receive.</w:t>
            </w:r>
          </w:p>
          <w:p w14:paraId="3838FA52" w14:textId="77777777" w:rsidR="00A02374" w:rsidRPr="00A02374" w:rsidRDefault="00A02374" w:rsidP="00A02374">
            <w:pPr>
              <w:rPr>
                <w:rFonts w:asciiTheme="minorHAnsi" w:hAnsiTheme="minorHAnsi" w:cstheme="minorHAnsi"/>
                <w:szCs w:val="24"/>
                <w:lang w:val="en-GB"/>
              </w:rPr>
            </w:pPr>
          </w:p>
          <w:p w14:paraId="7CE7F9AC" w14:textId="77777777" w:rsidR="00A02374" w:rsidRPr="00A02374" w:rsidRDefault="00A02374" w:rsidP="00A02374">
            <w:pPr>
              <w:rPr>
                <w:rFonts w:asciiTheme="minorHAnsi" w:hAnsiTheme="minorHAnsi" w:cstheme="minorHAnsi"/>
                <w:szCs w:val="24"/>
                <w:lang w:val="en-GB"/>
              </w:rPr>
            </w:pPr>
            <w:r w:rsidRPr="00A02374">
              <w:rPr>
                <w:rFonts w:asciiTheme="minorHAnsi" w:hAnsiTheme="minorHAnsi" w:cstheme="minorHAnsi"/>
                <w:szCs w:val="24"/>
                <w:lang w:val="en-GB"/>
              </w:rPr>
              <w:t>Conference reaffirms its previous decision; that any form of ' Means Testing' is unacceptable. Conference instructs the National Committee to urgently seek, via the NEC, and any other applicable Forum, for all Pensioners to be paid using the latest scheme.</w:t>
            </w:r>
          </w:p>
          <w:p w14:paraId="0DD00893" w14:textId="07E62964" w:rsidR="004F4007" w:rsidRDefault="004F4007">
            <w:pPr>
              <w:spacing w:line="280" w:lineRule="exact"/>
              <w:rPr>
                <w:rFonts w:asciiTheme="minorHAnsi" w:hAnsiTheme="minorHAnsi" w:cstheme="minorHAnsi"/>
                <w:bCs/>
                <w:szCs w:val="24"/>
                <w:lang w:val="en-GB"/>
              </w:rPr>
            </w:pPr>
          </w:p>
          <w:p w14:paraId="16316C6C" w14:textId="3F7C1DF7" w:rsidR="00FD5C1E" w:rsidRPr="00A02374" w:rsidRDefault="00FD5C1E">
            <w:pPr>
              <w:spacing w:line="280" w:lineRule="exact"/>
              <w:rPr>
                <w:rFonts w:asciiTheme="minorHAnsi" w:hAnsiTheme="minorHAnsi" w:cstheme="minorHAnsi"/>
                <w:bCs/>
                <w:szCs w:val="24"/>
                <w:lang w:val="en-GB"/>
              </w:rPr>
            </w:pPr>
            <w:r w:rsidRPr="00FD5C1E">
              <w:rPr>
                <w:rFonts w:asciiTheme="minorHAnsi" w:hAnsiTheme="minorHAnsi" w:cstheme="minorHAnsi"/>
                <w:b/>
                <w:szCs w:val="24"/>
                <w:lang w:val="en-GB"/>
              </w:rPr>
              <w:t>Action</w:t>
            </w:r>
            <w:r>
              <w:rPr>
                <w:rFonts w:asciiTheme="minorHAnsi" w:hAnsiTheme="minorHAnsi" w:cstheme="minorHAnsi"/>
                <w:bCs/>
                <w:szCs w:val="24"/>
                <w:lang w:val="en-GB"/>
              </w:rPr>
              <w:t>: The NC disagree</w:t>
            </w:r>
            <w:r w:rsidR="004F4007">
              <w:rPr>
                <w:rFonts w:asciiTheme="minorHAnsi" w:hAnsiTheme="minorHAnsi" w:cstheme="minorHAnsi"/>
                <w:bCs/>
                <w:szCs w:val="24"/>
                <w:lang w:val="en-GB"/>
              </w:rPr>
              <w:t>d</w:t>
            </w:r>
            <w:r>
              <w:rPr>
                <w:rFonts w:asciiTheme="minorHAnsi" w:hAnsiTheme="minorHAnsi" w:cstheme="minorHAnsi"/>
                <w:bCs/>
                <w:szCs w:val="24"/>
                <w:lang w:val="en-GB"/>
              </w:rPr>
              <w:t xml:space="preserve"> with the latter instruction as it is based on an incorrect premise.</w:t>
            </w:r>
            <w:r w:rsidR="004F4007">
              <w:rPr>
                <w:rFonts w:asciiTheme="minorHAnsi" w:hAnsiTheme="minorHAnsi" w:cstheme="minorHAnsi"/>
                <w:bCs/>
                <w:szCs w:val="24"/>
                <w:lang w:val="en-GB"/>
              </w:rPr>
              <w:t xml:space="preserve">  </w:t>
            </w:r>
            <w:r w:rsidR="007A5CFC">
              <w:rPr>
                <w:rFonts w:asciiTheme="minorHAnsi" w:hAnsiTheme="minorHAnsi" w:cstheme="minorHAnsi"/>
                <w:bCs/>
                <w:szCs w:val="24"/>
                <w:lang w:val="en-GB"/>
              </w:rPr>
              <w:t xml:space="preserve">The lower pension is received by members of contracted-out schemes who receive a sum equivalent to or greater than the </w:t>
            </w:r>
            <w:r w:rsidR="006B0AB5">
              <w:rPr>
                <w:rFonts w:asciiTheme="minorHAnsi" w:hAnsiTheme="minorHAnsi" w:cstheme="minorHAnsi"/>
                <w:bCs/>
                <w:szCs w:val="24"/>
                <w:lang w:val="en-GB"/>
              </w:rPr>
              <w:t>G</w:t>
            </w:r>
            <w:r w:rsidR="007A5CFC">
              <w:rPr>
                <w:rFonts w:asciiTheme="minorHAnsi" w:hAnsiTheme="minorHAnsi" w:cstheme="minorHAnsi"/>
                <w:bCs/>
                <w:szCs w:val="24"/>
                <w:lang w:val="en-GB"/>
              </w:rPr>
              <w:t>overnment</w:t>
            </w:r>
            <w:r w:rsidR="006B0AB5">
              <w:rPr>
                <w:rFonts w:asciiTheme="minorHAnsi" w:hAnsiTheme="minorHAnsi" w:cstheme="minorHAnsi"/>
                <w:bCs/>
                <w:szCs w:val="24"/>
                <w:lang w:val="en-GB"/>
              </w:rPr>
              <w:t xml:space="preserve"> second pension.  Thus, the</w:t>
            </w:r>
            <w:r w:rsidR="00034F82" w:rsidRPr="007A5CFC">
              <w:rPr>
                <w:rFonts w:asciiTheme="minorHAnsi" w:hAnsiTheme="minorHAnsi" w:cstheme="minorHAnsi"/>
                <w:bCs/>
                <w:szCs w:val="24"/>
                <w:lang w:val="en-GB"/>
              </w:rPr>
              <w:t xml:space="preserve"> Guaranteed Minimum Pension ensures that pensioners under the old scheme do not lose out.  Some are better off because</w:t>
            </w:r>
            <w:r w:rsidR="006B0AB5">
              <w:rPr>
                <w:rFonts w:asciiTheme="minorHAnsi" w:hAnsiTheme="minorHAnsi" w:cstheme="minorHAnsi"/>
                <w:bCs/>
                <w:szCs w:val="24"/>
                <w:lang w:val="en-GB"/>
              </w:rPr>
              <w:t xml:space="preserve"> Prospect representatives and staff have negotiated superior pension provision</w:t>
            </w:r>
            <w:r w:rsidR="00476361">
              <w:rPr>
                <w:rFonts w:asciiTheme="minorHAnsi" w:hAnsiTheme="minorHAnsi" w:cstheme="minorHAnsi"/>
                <w:bCs/>
                <w:szCs w:val="24"/>
                <w:lang w:val="en-GB"/>
              </w:rPr>
              <w:t xml:space="preserve"> the state pension, and historically investment returns have led to higher growth in pensions.</w:t>
            </w:r>
          </w:p>
        </w:tc>
        <w:tc>
          <w:tcPr>
            <w:tcW w:w="1418" w:type="dxa"/>
            <w:tcMar>
              <w:left w:w="85" w:type="dxa"/>
              <w:right w:w="85" w:type="dxa"/>
            </w:tcMar>
          </w:tcPr>
          <w:p w14:paraId="01192981" w14:textId="65455FD6" w:rsidR="004A44C4" w:rsidRPr="00A02374" w:rsidRDefault="008044C6">
            <w:pPr>
              <w:spacing w:line="280" w:lineRule="exact"/>
              <w:jc w:val="center"/>
              <w:rPr>
                <w:rFonts w:ascii="Calibri" w:hAnsi="Calibri"/>
                <w:b/>
                <w:szCs w:val="24"/>
                <w:lang w:val="en-GB"/>
              </w:rPr>
            </w:pPr>
            <w:r>
              <w:rPr>
                <w:rFonts w:ascii="Calibri" w:hAnsi="Calibri"/>
                <w:b/>
                <w:szCs w:val="24"/>
                <w:lang w:val="en-GB"/>
              </w:rPr>
              <w:t>Remitted</w:t>
            </w:r>
          </w:p>
        </w:tc>
      </w:tr>
      <w:tr w:rsidR="004A44C4" w:rsidRPr="00A02374" w14:paraId="0B79F74D" w14:textId="77777777" w:rsidTr="00FE58D6">
        <w:tc>
          <w:tcPr>
            <w:tcW w:w="1305" w:type="dxa"/>
            <w:tcMar>
              <w:left w:w="85" w:type="dxa"/>
              <w:right w:w="85" w:type="dxa"/>
            </w:tcMar>
          </w:tcPr>
          <w:p w14:paraId="3D9F9808" w14:textId="77777777" w:rsidR="004A44C4" w:rsidRPr="00A02374" w:rsidRDefault="004A44C4">
            <w:pPr>
              <w:keepNext/>
              <w:spacing w:line="280" w:lineRule="exact"/>
              <w:jc w:val="center"/>
              <w:rPr>
                <w:rFonts w:asciiTheme="minorHAnsi" w:hAnsiTheme="minorHAnsi" w:cstheme="minorHAnsi"/>
                <w:b/>
                <w:szCs w:val="24"/>
                <w:lang w:val="en-GB"/>
              </w:rPr>
            </w:pPr>
            <w:r w:rsidRPr="00A02374">
              <w:rPr>
                <w:rFonts w:asciiTheme="minorHAnsi" w:hAnsiTheme="minorHAnsi" w:cstheme="minorHAnsi"/>
                <w:b/>
                <w:szCs w:val="24"/>
                <w:lang w:val="en-GB"/>
              </w:rPr>
              <w:t>Section D:</w:t>
            </w:r>
          </w:p>
        </w:tc>
        <w:tc>
          <w:tcPr>
            <w:tcW w:w="6946" w:type="dxa"/>
            <w:tcMar>
              <w:left w:w="85" w:type="dxa"/>
              <w:right w:w="85" w:type="dxa"/>
            </w:tcMar>
          </w:tcPr>
          <w:p w14:paraId="2E982DD2" w14:textId="29EA5007" w:rsidR="004A44C4" w:rsidRPr="00A02374" w:rsidRDefault="005A4252">
            <w:pPr>
              <w:keepNext/>
              <w:spacing w:line="280" w:lineRule="exact"/>
              <w:rPr>
                <w:rFonts w:ascii="Calibri" w:hAnsi="Calibri"/>
                <w:b/>
                <w:bCs/>
                <w:szCs w:val="24"/>
                <w:lang w:val="en-GB"/>
              </w:rPr>
            </w:pPr>
            <w:r w:rsidRPr="00A02374">
              <w:rPr>
                <w:rFonts w:asciiTheme="minorHAnsi" w:hAnsiTheme="minorHAnsi" w:cstheme="minorHAnsi"/>
                <w:b/>
                <w:bCs/>
                <w:color w:val="000000"/>
                <w:szCs w:val="24"/>
                <w:lang w:val="en-GB"/>
              </w:rPr>
              <w:t>RMG Organisation</w:t>
            </w:r>
          </w:p>
        </w:tc>
        <w:tc>
          <w:tcPr>
            <w:tcW w:w="1418" w:type="dxa"/>
            <w:tcMar>
              <w:left w:w="85" w:type="dxa"/>
              <w:right w:w="85" w:type="dxa"/>
            </w:tcMar>
          </w:tcPr>
          <w:p w14:paraId="1F228CA2" w14:textId="77777777" w:rsidR="004A44C4" w:rsidRPr="00A02374" w:rsidRDefault="004A44C4">
            <w:pPr>
              <w:keepNext/>
              <w:spacing w:line="280" w:lineRule="exact"/>
              <w:jc w:val="center"/>
              <w:rPr>
                <w:rFonts w:ascii="Calibri" w:hAnsi="Calibri"/>
                <w:b/>
                <w:szCs w:val="24"/>
                <w:lang w:val="en-GB"/>
              </w:rPr>
            </w:pPr>
          </w:p>
        </w:tc>
      </w:tr>
      <w:tr w:rsidR="004A44C4" w:rsidRPr="00A02374" w14:paraId="25FA7788" w14:textId="77777777" w:rsidTr="00FE58D6">
        <w:tc>
          <w:tcPr>
            <w:tcW w:w="1305" w:type="dxa"/>
            <w:tcMar>
              <w:left w:w="85" w:type="dxa"/>
              <w:right w:w="85" w:type="dxa"/>
            </w:tcMar>
          </w:tcPr>
          <w:p w14:paraId="75F189C6" w14:textId="77777777" w:rsidR="004A44C4" w:rsidRPr="00A02374" w:rsidRDefault="004A44C4">
            <w:pPr>
              <w:spacing w:line="280" w:lineRule="exact"/>
              <w:jc w:val="center"/>
              <w:rPr>
                <w:rFonts w:asciiTheme="minorHAnsi" w:hAnsiTheme="minorHAnsi" w:cstheme="minorHAnsi"/>
                <w:b/>
                <w:szCs w:val="24"/>
                <w:lang w:val="en-GB"/>
              </w:rPr>
            </w:pPr>
            <w:r w:rsidRPr="00A02374">
              <w:rPr>
                <w:rFonts w:asciiTheme="minorHAnsi" w:hAnsiTheme="minorHAnsi" w:cstheme="minorHAnsi"/>
                <w:b/>
                <w:szCs w:val="24"/>
                <w:lang w:val="en-GB"/>
              </w:rPr>
              <w:t>5</w:t>
            </w:r>
          </w:p>
        </w:tc>
        <w:tc>
          <w:tcPr>
            <w:tcW w:w="6946" w:type="dxa"/>
            <w:tcMar>
              <w:left w:w="85" w:type="dxa"/>
              <w:right w:w="85" w:type="dxa"/>
            </w:tcMar>
          </w:tcPr>
          <w:p w14:paraId="68405B9A" w14:textId="77777777" w:rsidR="00A02374" w:rsidRPr="00A02374" w:rsidRDefault="00A02374" w:rsidP="00A02374">
            <w:pPr>
              <w:rPr>
                <w:rFonts w:asciiTheme="minorHAnsi" w:hAnsiTheme="minorHAnsi" w:cstheme="minorHAnsi"/>
                <w:szCs w:val="24"/>
                <w:lang w:val="en-GB"/>
              </w:rPr>
            </w:pPr>
            <w:r w:rsidRPr="00A02374">
              <w:rPr>
                <w:rFonts w:asciiTheme="minorHAnsi" w:hAnsiTheme="minorHAnsi" w:cstheme="minorHAnsi"/>
                <w:color w:val="000000"/>
                <w:szCs w:val="24"/>
                <w:lang w:val="en-GB"/>
              </w:rPr>
              <w:t>Conference instructs the National Committee to ensure that the avenues that individual Retired Members should use to seek assistance from</w:t>
            </w:r>
            <w:r w:rsidRPr="00A02374">
              <w:rPr>
                <w:rFonts w:asciiTheme="minorHAnsi" w:hAnsiTheme="minorHAnsi" w:cstheme="minorHAnsi"/>
                <w:szCs w:val="24"/>
                <w:lang w:val="en-GB"/>
              </w:rPr>
              <w:t> Prospect are explained yearly in an issue of the Retired Members Bulletin intended to reach all Retired Members.  Conference also instructs the National Committee to ensure that the Bulletin clarifies the issues that Prospect can assist with.</w:t>
            </w:r>
          </w:p>
          <w:p w14:paraId="5CEB4E07" w14:textId="77777777" w:rsidR="004A44C4" w:rsidRDefault="004A44C4">
            <w:pPr>
              <w:widowControl/>
              <w:spacing w:after="180" w:line="280" w:lineRule="exact"/>
              <w:contextualSpacing/>
              <w:rPr>
                <w:rFonts w:ascii="Calibri" w:eastAsia="Calibri" w:hAnsi="Calibri"/>
                <w:kern w:val="0"/>
                <w:szCs w:val="24"/>
                <w:lang w:val="en-GB" w:eastAsia="en-US"/>
              </w:rPr>
            </w:pPr>
          </w:p>
          <w:p w14:paraId="67CED03F" w14:textId="16E790BE" w:rsidR="00D81EA0" w:rsidRPr="00A02374" w:rsidRDefault="00D81EA0">
            <w:pPr>
              <w:widowControl/>
              <w:spacing w:after="180" w:line="280" w:lineRule="exact"/>
              <w:contextualSpacing/>
              <w:rPr>
                <w:rFonts w:ascii="Calibri" w:eastAsia="Calibri" w:hAnsi="Calibri"/>
                <w:kern w:val="0"/>
                <w:szCs w:val="24"/>
                <w:lang w:val="en-GB" w:eastAsia="en-US"/>
              </w:rPr>
            </w:pPr>
            <w:r w:rsidRPr="00686593">
              <w:rPr>
                <w:rFonts w:ascii="Calibri" w:eastAsia="Calibri" w:hAnsi="Calibri"/>
                <w:b/>
                <w:bCs/>
                <w:kern w:val="0"/>
                <w:szCs w:val="24"/>
                <w:lang w:val="en-GB" w:eastAsia="en-US"/>
              </w:rPr>
              <w:t>Action</w:t>
            </w:r>
            <w:r>
              <w:rPr>
                <w:rFonts w:ascii="Calibri" w:eastAsia="Calibri" w:hAnsi="Calibri"/>
                <w:kern w:val="0"/>
                <w:szCs w:val="24"/>
                <w:lang w:val="en-GB" w:eastAsia="en-US"/>
              </w:rPr>
              <w:t xml:space="preserve">: </w:t>
            </w:r>
            <w:r w:rsidR="00A30471">
              <w:rPr>
                <w:rFonts w:ascii="Calibri" w:eastAsia="Calibri" w:hAnsi="Calibri"/>
                <w:kern w:val="0"/>
                <w:szCs w:val="24"/>
                <w:lang w:val="en-GB" w:eastAsia="en-US"/>
              </w:rPr>
              <w:t>For</w:t>
            </w:r>
            <w:r w:rsidR="00686593">
              <w:rPr>
                <w:rFonts w:ascii="Calibri" w:eastAsia="Calibri" w:hAnsi="Calibri"/>
                <w:kern w:val="0"/>
                <w:szCs w:val="24"/>
                <w:lang w:val="en-GB" w:eastAsia="en-US"/>
              </w:rPr>
              <w:t xml:space="preserve"> 2026</w:t>
            </w:r>
            <w:r w:rsidR="00A30471">
              <w:rPr>
                <w:rFonts w:ascii="Calibri" w:eastAsia="Calibri" w:hAnsi="Calibri"/>
                <w:kern w:val="0"/>
                <w:szCs w:val="24"/>
                <w:lang w:val="en-GB" w:eastAsia="en-US"/>
              </w:rPr>
              <w:t>, this is in the process of</w:t>
            </w:r>
            <w:r w:rsidR="00686593">
              <w:rPr>
                <w:rFonts w:ascii="Calibri" w:eastAsia="Calibri" w:hAnsi="Calibri"/>
                <w:kern w:val="0"/>
                <w:szCs w:val="24"/>
                <w:lang w:val="en-GB" w:eastAsia="en-US"/>
              </w:rPr>
              <w:t xml:space="preserve"> </w:t>
            </w:r>
            <w:r w:rsidR="00A30471">
              <w:rPr>
                <w:rFonts w:ascii="Calibri" w:eastAsia="Calibri" w:hAnsi="Calibri"/>
                <w:kern w:val="0"/>
                <w:szCs w:val="24"/>
                <w:lang w:val="en-GB" w:eastAsia="en-US"/>
              </w:rPr>
              <w:t>being implemented in</w:t>
            </w:r>
            <w:r w:rsidR="00686593">
              <w:rPr>
                <w:rFonts w:ascii="Calibri" w:eastAsia="Calibri" w:hAnsi="Calibri"/>
                <w:kern w:val="0"/>
                <w:szCs w:val="24"/>
                <w:lang w:val="en-GB" w:eastAsia="en-US"/>
              </w:rPr>
              <w:t xml:space="preserve"> the</w:t>
            </w:r>
            <w:r>
              <w:rPr>
                <w:rFonts w:ascii="Calibri" w:eastAsia="Calibri" w:hAnsi="Calibri"/>
                <w:kern w:val="0"/>
                <w:szCs w:val="24"/>
                <w:lang w:val="en-GB" w:eastAsia="en-US"/>
              </w:rPr>
              <w:t xml:space="preserve"> Spring edition of the Retired Members Bulletin</w:t>
            </w:r>
            <w:r w:rsidR="00686593">
              <w:rPr>
                <w:rFonts w:ascii="Calibri" w:eastAsia="Calibri" w:hAnsi="Calibri"/>
                <w:kern w:val="0"/>
                <w:szCs w:val="24"/>
                <w:lang w:val="en-GB" w:eastAsia="en-US"/>
              </w:rPr>
              <w:t>.</w:t>
            </w:r>
          </w:p>
        </w:tc>
        <w:tc>
          <w:tcPr>
            <w:tcW w:w="1418" w:type="dxa"/>
            <w:tcMar>
              <w:left w:w="85" w:type="dxa"/>
              <w:right w:w="85" w:type="dxa"/>
            </w:tcMar>
          </w:tcPr>
          <w:p w14:paraId="0417F40E" w14:textId="7C84AD45" w:rsidR="004A44C4" w:rsidRPr="00A02374" w:rsidRDefault="008044C6">
            <w:pPr>
              <w:spacing w:line="280" w:lineRule="exact"/>
              <w:jc w:val="center"/>
              <w:rPr>
                <w:rFonts w:ascii="Calibri" w:hAnsi="Calibri"/>
                <w:b/>
                <w:szCs w:val="24"/>
                <w:lang w:val="en-GB"/>
              </w:rPr>
            </w:pPr>
            <w:r>
              <w:rPr>
                <w:rFonts w:ascii="Calibri" w:hAnsi="Calibri"/>
                <w:b/>
                <w:szCs w:val="24"/>
                <w:lang w:val="en-GB"/>
              </w:rPr>
              <w:t>Carried</w:t>
            </w:r>
          </w:p>
        </w:tc>
      </w:tr>
      <w:tr w:rsidR="004A44C4" w:rsidRPr="00A02374" w14:paraId="4C2125BD" w14:textId="77777777" w:rsidTr="00FE58D6">
        <w:tc>
          <w:tcPr>
            <w:tcW w:w="1305" w:type="dxa"/>
            <w:tcMar>
              <w:left w:w="85" w:type="dxa"/>
              <w:right w:w="85" w:type="dxa"/>
            </w:tcMar>
          </w:tcPr>
          <w:p w14:paraId="63F76071" w14:textId="2E7D2F49" w:rsidR="004A44C4" w:rsidRPr="00A02374" w:rsidRDefault="004A44C4">
            <w:pPr>
              <w:keepNext/>
              <w:spacing w:line="280" w:lineRule="exact"/>
              <w:jc w:val="center"/>
              <w:rPr>
                <w:rFonts w:asciiTheme="minorHAnsi" w:hAnsiTheme="minorHAnsi" w:cstheme="minorHAnsi"/>
                <w:b/>
                <w:szCs w:val="24"/>
                <w:lang w:val="en-GB"/>
              </w:rPr>
            </w:pPr>
            <w:r w:rsidRPr="00A02374">
              <w:rPr>
                <w:rFonts w:asciiTheme="minorHAnsi" w:hAnsiTheme="minorHAnsi" w:cstheme="minorHAnsi"/>
                <w:b/>
                <w:szCs w:val="24"/>
                <w:lang w:val="en-GB"/>
              </w:rPr>
              <w:t xml:space="preserve">Section </w:t>
            </w:r>
            <w:r w:rsidR="00686E12" w:rsidRPr="00A02374">
              <w:rPr>
                <w:rFonts w:asciiTheme="minorHAnsi" w:hAnsiTheme="minorHAnsi" w:cstheme="minorHAnsi"/>
                <w:b/>
                <w:szCs w:val="24"/>
                <w:lang w:val="en-GB"/>
              </w:rPr>
              <w:t>E</w:t>
            </w:r>
            <w:r w:rsidRPr="00A02374">
              <w:rPr>
                <w:rFonts w:asciiTheme="minorHAnsi" w:hAnsiTheme="minorHAnsi" w:cstheme="minorHAnsi"/>
                <w:b/>
                <w:szCs w:val="24"/>
                <w:lang w:val="en-GB"/>
              </w:rPr>
              <w:t>:</w:t>
            </w:r>
          </w:p>
        </w:tc>
        <w:tc>
          <w:tcPr>
            <w:tcW w:w="6946" w:type="dxa"/>
            <w:tcMar>
              <w:left w:w="85" w:type="dxa"/>
              <w:right w:w="85" w:type="dxa"/>
            </w:tcMar>
            <w:vAlign w:val="center"/>
          </w:tcPr>
          <w:p w14:paraId="243BB554" w14:textId="0309054A" w:rsidR="004A44C4" w:rsidRPr="00A02374" w:rsidRDefault="005A4252">
            <w:pPr>
              <w:keepNext/>
              <w:spacing w:line="280" w:lineRule="exact"/>
              <w:rPr>
                <w:rFonts w:ascii="Calibri" w:hAnsi="Calibri"/>
                <w:b/>
                <w:szCs w:val="24"/>
                <w:lang w:val="en-GB"/>
              </w:rPr>
            </w:pPr>
            <w:r w:rsidRPr="00A02374">
              <w:rPr>
                <w:rFonts w:ascii="Calibri" w:hAnsi="Calibri"/>
                <w:b/>
                <w:szCs w:val="24"/>
                <w:lang w:val="en-GB"/>
              </w:rPr>
              <w:t>Prospect Organisation</w:t>
            </w:r>
          </w:p>
        </w:tc>
        <w:tc>
          <w:tcPr>
            <w:tcW w:w="1418" w:type="dxa"/>
            <w:tcMar>
              <w:left w:w="85" w:type="dxa"/>
              <w:right w:w="85" w:type="dxa"/>
            </w:tcMar>
          </w:tcPr>
          <w:p w14:paraId="21A82F09" w14:textId="77777777" w:rsidR="004A44C4" w:rsidRPr="00A02374" w:rsidRDefault="004A44C4">
            <w:pPr>
              <w:keepNext/>
              <w:spacing w:line="280" w:lineRule="exact"/>
              <w:jc w:val="center"/>
              <w:rPr>
                <w:rFonts w:ascii="Calibri" w:hAnsi="Calibri"/>
                <w:b/>
                <w:szCs w:val="24"/>
                <w:lang w:val="en-GB"/>
              </w:rPr>
            </w:pPr>
          </w:p>
        </w:tc>
      </w:tr>
      <w:tr w:rsidR="005A4252" w:rsidRPr="00A02374" w14:paraId="61A1BDA9" w14:textId="77777777" w:rsidTr="00FE58D6">
        <w:tc>
          <w:tcPr>
            <w:tcW w:w="1305" w:type="dxa"/>
            <w:tcMar>
              <w:left w:w="85" w:type="dxa"/>
              <w:right w:w="85" w:type="dxa"/>
            </w:tcMar>
          </w:tcPr>
          <w:p w14:paraId="574E7F12" w14:textId="14F5D94F" w:rsidR="005A4252" w:rsidRPr="00A02374" w:rsidRDefault="005A4252">
            <w:pPr>
              <w:spacing w:line="280" w:lineRule="exact"/>
              <w:jc w:val="center"/>
              <w:rPr>
                <w:rFonts w:asciiTheme="minorHAnsi" w:hAnsiTheme="minorHAnsi" w:cstheme="minorHAnsi"/>
                <w:b/>
                <w:szCs w:val="24"/>
                <w:lang w:val="en-GB"/>
              </w:rPr>
            </w:pPr>
            <w:r w:rsidRPr="00A02374">
              <w:rPr>
                <w:rFonts w:asciiTheme="minorHAnsi" w:hAnsiTheme="minorHAnsi" w:cstheme="minorHAnsi"/>
                <w:b/>
                <w:szCs w:val="24"/>
                <w:lang w:val="en-GB"/>
              </w:rPr>
              <w:t>6</w:t>
            </w:r>
          </w:p>
        </w:tc>
        <w:tc>
          <w:tcPr>
            <w:tcW w:w="6946" w:type="dxa"/>
            <w:tcMar>
              <w:left w:w="85" w:type="dxa"/>
              <w:right w:w="85" w:type="dxa"/>
            </w:tcMar>
          </w:tcPr>
          <w:p w14:paraId="733EF608" w14:textId="77777777" w:rsidR="00A02374" w:rsidRPr="00A02374" w:rsidRDefault="00A02374" w:rsidP="00A02374">
            <w:pPr>
              <w:pStyle w:val="TableContents"/>
              <w:spacing w:line="240" w:lineRule="auto"/>
              <w:rPr>
                <w:rFonts w:asciiTheme="minorHAnsi" w:hAnsiTheme="minorHAnsi" w:cstheme="minorHAnsi"/>
                <w:sz w:val="24"/>
                <w:szCs w:val="24"/>
              </w:rPr>
            </w:pPr>
            <w:r w:rsidRPr="00A02374">
              <w:rPr>
                <w:rFonts w:asciiTheme="minorHAnsi" w:hAnsiTheme="minorHAnsi" w:cstheme="minorHAnsi"/>
                <w:sz w:val="24"/>
                <w:szCs w:val="24"/>
              </w:rPr>
              <w:t>This Conference records significant concern and disappointment at the data breach which occurred in June 2025 and the subsequent delay in informing members of the breach and instructs the National Committee to seek:</w:t>
            </w:r>
          </w:p>
          <w:p w14:paraId="51717ED3" w14:textId="77777777" w:rsidR="00A02374" w:rsidRPr="00A02374" w:rsidRDefault="00A02374" w:rsidP="00E97604">
            <w:pPr>
              <w:pStyle w:val="ListNumber"/>
              <w:numPr>
                <w:ilvl w:val="0"/>
                <w:numId w:val="10"/>
              </w:numPr>
              <w:spacing w:before="0" w:line="240" w:lineRule="auto"/>
              <w:rPr>
                <w:rFonts w:asciiTheme="minorHAnsi" w:hAnsiTheme="minorHAnsi" w:cstheme="minorHAnsi"/>
                <w:sz w:val="24"/>
                <w:szCs w:val="24"/>
              </w:rPr>
            </w:pPr>
            <w:r w:rsidRPr="00A02374">
              <w:rPr>
                <w:rFonts w:asciiTheme="minorHAnsi" w:hAnsiTheme="minorHAnsi" w:cstheme="minorHAnsi"/>
                <w:sz w:val="24"/>
                <w:szCs w:val="24"/>
              </w:rPr>
              <w:t>Clear assurance that members personal data is now secure and will remain so, and</w:t>
            </w:r>
          </w:p>
          <w:p w14:paraId="0A1B507A" w14:textId="77777777" w:rsidR="00A02374" w:rsidRPr="00A02374" w:rsidRDefault="00A02374" w:rsidP="00E97604">
            <w:pPr>
              <w:pStyle w:val="ListNumber"/>
              <w:numPr>
                <w:ilvl w:val="0"/>
                <w:numId w:val="10"/>
              </w:numPr>
              <w:spacing w:before="0" w:line="240" w:lineRule="auto"/>
              <w:rPr>
                <w:rFonts w:asciiTheme="minorHAnsi" w:hAnsiTheme="minorHAnsi" w:cstheme="minorHAnsi"/>
                <w:sz w:val="24"/>
                <w:szCs w:val="24"/>
              </w:rPr>
            </w:pPr>
            <w:r w:rsidRPr="00A02374">
              <w:rPr>
                <w:rFonts w:asciiTheme="minorHAnsi" w:hAnsiTheme="minorHAnsi" w:cstheme="minorHAnsi"/>
                <w:sz w:val="24"/>
                <w:szCs w:val="24"/>
              </w:rPr>
              <w:lastRenderedPageBreak/>
              <w:t xml:space="preserve">Compensation for members who have experienced material and non-material consequences </w:t>
            </w:r>
            <w:proofErr w:type="gramStart"/>
            <w:r w:rsidRPr="00A02374">
              <w:rPr>
                <w:rFonts w:asciiTheme="minorHAnsi" w:hAnsiTheme="minorHAnsi" w:cstheme="minorHAnsi"/>
                <w:sz w:val="24"/>
                <w:szCs w:val="24"/>
              </w:rPr>
              <w:t>as a result of</w:t>
            </w:r>
            <w:proofErr w:type="gramEnd"/>
            <w:r w:rsidRPr="00A02374">
              <w:rPr>
                <w:rFonts w:asciiTheme="minorHAnsi" w:hAnsiTheme="minorHAnsi" w:cstheme="minorHAnsi"/>
                <w:sz w:val="24"/>
                <w:szCs w:val="24"/>
              </w:rPr>
              <w:t xml:space="preserve"> the data breach.</w:t>
            </w:r>
          </w:p>
          <w:p w14:paraId="188D777F" w14:textId="77777777" w:rsidR="005A4252" w:rsidRDefault="005A4252">
            <w:pPr>
              <w:spacing w:line="280" w:lineRule="exact"/>
              <w:rPr>
                <w:rFonts w:ascii="Calibri" w:hAnsi="Calibri"/>
                <w:szCs w:val="24"/>
                <w:lang w:val="en-GB"/>
              </w:rPr>
            </w:pPr>
          </w:p>
          <w:p w14:paraId="796DB897" w14:textId="50F7A910" w:rsidR="00B96D7D" w:rsidRPr="00A02374" w:rsidRDefault="00B96D7D">
            <w:pPr>
              <w:spacing w:line="280" w:lineRule="exact"/>
              <w:rPr>
                <w:rFonts w:ascii="Calibri" w:hAnsi="Calibri"/>
                <w:szCs w:val="24"/>
                <w:lang w:val="en-GB"/>
              </w:rPr>
            </w:pPr>
            <w:r w:rsidRPr="00B96D7D">
              <w:rPr>
                <w:rFonts w:ascii="Calibri" w:hAnsi="Calibri"/>
                <w:b/>
                <w:szCs w:val="24"/>
                <w:lang w:val="en-GB"/>
              </w:rPr>
              <w:t>Action</w:t>
            </w:r>
            <w:r>
              <w:rPr>
                <w:rFonts w:ascii="Calibri" w:hAnsi="Calibri"/>
                <w:bCs/>
                <w:szCs w:val="24"/>
                <w:lang w:val="en-GB"/>
              </w:rPr>
              <w:t>: Motion passed on to the NEC</w:t>
            </w:r>
            <w:r w:rsidR="00DC1C9C">
              <w:rPr>
                <w:rFonts w:ascii="Calibri" w:hAnsi="Calibri"/>
                <w:bCs/>
                <w:szCs w:val="24"/>
                <w:lang w:val="en-GB"/>
              </w:rPr>
              <w:t>.</w:t>
            </w:r>
            <w:r w:rsidR="003637F5">
              <w:rPr>
                <w:rFonts w:ascii="Calibri" w:hAnsi="Calibri"/>
                <w:bCs/>
                <w:szCs w:val="24"/>
                <w:lang w:val="en-GB"/>
              </w:rPr>
              <w:t xml:space="preserve">  (An introductory note said the RMG NC is not disputing actions taken by Prospect thus far.)</w:t>
            </w:r>
          </w:p>
        </w:tc>
        <w:tc>
          <w:tcPr>
            <w:tcW w:w="1418" w:type="dxa"/>
            <w:tcMar>
              <w:left w:w="85" w:type="dxa"/>
              <w:right w:w="85" w:type="dxa"/>
            </w:tcMar>
          </w:tcPr>
          <w:p w14:paraId="014F7E02" w14:textId="09E135C3" w:rsidR="005A4252" w:rsidRPr="00A02374" w:rsidRDefault="008044C6">
            <w:pPr>
              <w:spacing w:line="280" w:lineRule="exact"/>
              <w:jc w:val="center"/>
              <w:rPr>
                <w:rFonts w:ascii="Calibri" w:hAnsi="Calibri"/>
                <w:b/>
                <w:szCs w:val="24"/>
                <w:lang w:val="en-GB"/>
              </w:rPr>
            </w:pPr>
            <w:r>
              <w:rPr>
                <w:rFonts w:ascii="Calibri" w:hAnsi="Calibri"/>
                <w:b/>
                <w:szCs w:val="24"/>
                <w:lang w:val="en-GB"/>
              </w:rPr>
              <w:lastRenderedPageBreak/>
              <w:t>Carried</w:t>
            </w:r>
          </w:p>
        </w:tc>
      </w:tr>
      <w:tr w:rsidR="004A44C4" w:rsidRPr="00A02374" w14:paraId="72081662" w14:textId="77777777" w:rsidTr="00FE58D6">
        <w:tc>
          <w:tcPr>
            <w:tcW w:w="1305" w:type="dxa"/>
            <w:tcMar>
              <w:left w:w="85" w:type="dxa"/>
              <w:right w:w="85" w:type="dxa"/>
            </w:tcMar>
          </w:tcPr>
          <w:p w14:paraId="267B963A" w14:textId="77777777" w:rsidR="004A44C4" w:rsidRPr="00A02374" w:rsidRDefault="004A44C4">
            <w:pPr>
              <w:spacing w:line="280" w:lineRule="exact"/>
              <w:jc w:val="center"/>
              <w:rPr>
                <w:rFonts w:asciiTheme="minorHAnsi" w:hAnsiTheme="minorHAnsi" w:cstheme="minorHAnsi"/>
                <w:b/>
                <w:szCs w:val="24"/>
                <w:lang w:val="en-GB"/>
              </w:rPr>
            </w:pPr>
            <w:r w:rsidRPr="00A02374">
              <w:rPr>
                <w:rFonts w:asciiTheme="minorHAnsi" w:hAnsiTheme="minorHAnsi" w:cstheme="minorHAnsi"/>
                <w:b/>
                <w:szCs w:val="24"/>
                <w:lang w:val="en-GB"/>
              </w:rPr>
              <w:t>8</w:t>
            </w:r>
          </w:p>
        </w:tc>
        <w:tc>
          <w:tcPr>
            <w:tcW w:w="6946" w:type="dxa"/>
            <w:tcMar>
              <w:left w:w="85" w:type="dxa"/>
              <w:right w:w="85" w:type="dxa"/>
            </w:tcMar>
            <w:vAlign w:val="bottom"/>
          </w:tcPr>
          <w:p w14:paraId="54082016" w14:textId="77777777" w:rsidR="00E97604" w:rsidRPr="00A02374" w:rsidRDefault="00E97604" w:rsidP="00E97604">
            <w:pPr>
              <w:pStyle w:val="TableContents"/>
              <w:spacing w:line="240" w:lineRule="auto"/>
              <w:rPr>
                <w:rFonts w:asciiTheme="minorHAnsi" w:hAnsiTheme="minorHAnsi" w:cstheme="minorHAnsi"/>
                <w:sz w:val="24"/>
                <w:szCs w:val="24"/>
              </w:rPr>
            </w:pPr>
            <w:r w:rsidRPr="00A02374">
              <w:rPr>
                <w:rFonts w:asciiTheme="minorHAnsi" w:hAnsiTheme="minorHAnsi" w:cstheme="minorHAnsi"/>
                <w:color w:val="000000"/>
                <w:sz w:val="24"/>
                <w:szCs w:val="24"/>
              </w:rPr>
              <w:t>Following the security breach of some member</w:t>
            </w:r>
            <w:r w:rsidRPr="00A02374">
              <w:rPr>
                <w:rFonts w:asciiTheme="minorHAnsi" w:hAnsiTheme="minorHAnsi" w:cstheme="minorHAnsi"/>
                <w:sz w:val="24"/>
                <w:szCs w:val="24"/>
              </w:rPr>
              <w:t xml:space="preserve">’s confidential data, compromised members subsequently received the offer of one year’s free Experian membership to warn if their data is being misused, so they can try to </w:t>
            </w:r>
            <w:proofErr w:type="gramStart"/>
            <w:r w:rsidRPr="00A02374">
              <w:rPr>
                <w:rFonts w:asciiTheme="minorHAnsi" w:hAnsiTheme="minorHAnsi" w:cstheme="minorHAnsi"/>
                <w:sz w:val="24"/>
                <w:szCs w:val="24"/>
              </w:rPr>
              <w:t>take action</w:t>
            </w:r>
            <w:proofErr w:type="gramEnd"/>
            <w:r w:rsidRPr="00A02374">
              <w:rPr>
                <w:rFonts w:asciiTheme="minorHAnsi" w:hAnsiTheme="minorHAnsi" w:cstheme="minorHAnsi"/>
                <w:sz w:val="24"/>
                <w:szCs w:val="24"/>
              </w:rPr>
              <w:t xml:space="preserve"> preventing misuse of their data. The stolen data may not be used until sometime in the future when this protection will have expired.</w:t>
            </w:r>
          </w:p>
          <w:p w14:paraId="56C3D1F8" w14:textId="77777777" w:rsidR="00E97604" w:rsidRPr="00A02374" w:rsidRDefault="00E97604" w:rsidP="00E97604">
            <w:pPr>
              <w:pStyle w:val="TableContents"/>
              <w:spacing w:line="240" w:lineRule="auto"/>
              <w:rPr>
                <w:rFonts w:asciiTheme="minorHAnsi" w:hAnsiTheme="minorHAnsi" w:cstheme="minorHAnsi"/>
                <w:sz w:val="24"/>
                <w:szCs w:val="24"/>
              </w:rPr>
            </w:pPr>
          </w:p>
          <w:p w14:paraId="315AF91A" w14:textId="77777777" w:rsidR="00E97604" w:rsidRPr="00A02374" w:rsidRDefault="00E97604" w:rsidP="00E97604">
            <w:pPr>
              <w:pStyle w:val="TableContents"/>
              <w:spacing w:line="240" w:lineRule="auto"/>
              <w:rPr>
                <w:rFonts w:asciiTheme="minorHAnsi" w:hAnsiTheme="minorHAnsi" w:cstheme="minorHAnsi"/>
                <w:sz w:val="24"/>
                <w:szCs w:val="24"/>
              </w:rPr>
            </w:pPr>
            <w:r w:rsidRPr="00A02374">
              <w:rPr>
                <w:rFonts w:asciiTheme="minorHAnsi" w:hAnsiTheme="minorHAnsi" w:cstheme="minorHAnsi"/>
                <w:sz w:val="24"/>
                <w:szCs w:val="24"/>
              </w:rPr>
              <w:t>Conference instructs the NC to seek an extended period of cover for those whose data has been compromised, to prevent material impact for longer.</w:t>
            </w:r>
          </w:p>
          <w:p w14:paraId="67BD4A47" w14:textId="77777777" w:rsidR="004A44C4" w:rsidRDefault="004A44C4">
            <w:pPr>
              <w:widowControl/>
              <w:rPr>
                <w:rFonts w:ascii="Calibri" w:hAnsi="Calibri"/>
                <w:szCs w:val="24"/>
                <w:lang w:val="en-GB"/>
              </w:rPr>
            </w:pPr>
          </w:p>
          <w:p w14:paraId="5B98F01F" w14:textId="72D242C5" w:rsidR="00B96D7D" w:rsidRPr="00A02374" w:rsidRDefault="00B96D7D">
            <w:pPr>
              <w:widowControl/>
              <w:rPr>
                <w:rFonts w:ascii="Calibri" w:hAnsi="Calibri"/>
                <w:szCs w:val="24"/>
                <w:lang w:val="en-GB"/>
              </w:rPr>
            </w:pPr>
            <w:r w:rsidRPr="00B96D7D">
              <w:rPr>
                <w:rFonts w:ascii="Calibri" w:hAnsi="Calibri"/>
                <w:b/>
                <w:szCs w:val="24"/>
                <w:lang w:val="en-GB"/>
              </w:rPr>
              <w:t>Action</w:t>
            </w:r>
            <w:r>
              <w:rPr>
                <w:rFonts w:ascii="Calibri" w:hAnsi="Calibri"/>
                <w:bCs/>
                <w:szCs w:val="24"/>
                <w:lang w:val="en-GB"/>
              </w:rPr>
              <w:t>: Motion passed on to the NEC</w:t>
            </w:r>
            <w:r w:rsidR="00DC1C9C">
              <w:rPr>
                <w:rFonts w:ascii="Calibri" w:hAnsi="Calibri"/>
                <w:bCs/>
                <w:szCs w:val="24"/>
                <w:lang w:val="en-GB"/>
              </w:rPr>
              <w:t>.</w:t>
            </w:r>
            <w:r w:rsidR="003637F5">
              <w:rPr>
                <w:rFonts w:ascii="Calibri" w:hAnsi="Calibri"/>
                <w:bCs/>
                <w:szCs w:val="24"/>
                <w:lang w:val="en-GB"/>
              </w:rPr>
              <w:t xml:space="preserve">  (See note in parentheses on Resolution 6.)</w:t>
            </w:r>
          </w:p>
        </w:tc>
        <w:tc>
          <w:tcPr>
            <w:tcW w:w="1418" w:type="dxa"/>
            <w:tcMar>
              <w:left w:w="85" w:type="dxa"/>
              <w:right w:w="85" w:type="dxa"/>
            </w:tcMar>
          </w:tcPr>
          <w:p w14:paraId="1540CD13" w14:textId="2D7F413F" w:rsidR="004A44C4" w:rsidRPr="00A02374" w:rsidRDefault="008044C6">
            <w:pPr>
              <w:spacing w:line="280" w:lineRule="exact"/>
              <w:jc w:val="center"/>
              <w:rPr>
                <w:rFonts w:ascii="Calibri" w:hAnsi="Calibri"/>
                <w:b/>
                <w:szCs w:val="24"/>
                <w:lang w:val="en-GB"/>
              </w:rPr>
            </w:pPr>
            <w:r>
              <w:rPr>
                <w:rFonts w:ascii="Calibri" w:hAnsi="Calibri"/>
                <w:b/>
                <w:szCs w:val="24"/>
                <w:lang w:val="en-GB"/>
              </w:rPr>
              <w:t>Carried</w:t>
            </w:r>
          </w:p>
        </w:tc>
      </w:tr>
      <w:tr w:rsidR="004A44C4" w:rsidRPr="00A02374" w14:paraId="228564D1" w14:textId="77777777" w:rsidTr="00FE58D6">
        <w:tc>
          <w:tcPr>
            <w:tcW w:w="1305" w:type="dxa"/>
            <w:tcBorders>
              <w:bottom w:val="single" w:sz="4" w:space="0" w:color="auto"/>
            </w:tcBorders>
            <w:tcMar>
              <w:left w:w="85" w:type="dxa"/>
              <w:right w:w="85" w:type="dxa"/>
            </w:tcMar>
          </w:tcPr>
          <w:p w14:paraId="3B4FAE8E" w14:textId="77777777" w:rsidR="004A44C4" w:rsidRPr="00A02374" w:rsidRDefault="004A44C4">
            <w:pPr>
              <w:spacing w:line="280" w:lineRule="exact"/>
              <w:jc w:val="center"/>
              <w:rPr>
                <w:rFonts w:asciiTheme="minorHAnsi" w:hAnsiTheme="minorHAnsi" w:cstheme="minorHAnsi"/>
                <w:b/>
                <w:szCs w:val="24"/>
                <w:lang w:val="en-GB"/>
              </w:rPr>
            </w:pPr>
            <w:r w:rsidRPr="00A02374">
              <w:rPr>
                <w:rFonts w:asciiTheme="minorHAnsi" w:hAnsiTheme="minorHAnsi" w:cstheme="minorHAnsi"/>
                <w:b/>
                <w:szCs w:val="24"/>
                <w:lang w:val="en-GB"/>
              </w:rPr>
              <w:t>9</w:t>
            </w:r>
          </w:p>
        </w:tc>
        <w:tc>
          <w:tcPr>
            <w:tcW w:w="6946" w:type="dxa"/>
            <w:tcMar>
              <w:left w:w="85" w:type="dxa"/>
              <w:right w:w="85" w:type="dxa"/>
            </w:tcMar>
            <w:vAlign w:val="bottom"/>
          </w:tcPr>
          <w:p w14:paraId="77196748" w14:textId="77777777" w:rsidR="00E97604" w:rsidRPr="00A02374" w:rsidRDefault="00E97604" w:rsidP="00E97604">
            <w:pPr>
              <w:rPr>
                <w:rFonts w:asciiTheme="minorHAnsi" w:hAnsiTheme="minorHAnsi" w:cstheme="minorHAnsi"/>
                <w:szCs w:val="24"/>
                <w:lang w:val="en-GB" w:eastAsia="en-GB"/>
              </w:rPr>
            </w:pPr>
            <w:r w:rsidRPr="00A02374">
              <w:rPr>
                <w:rFonts w:asciiTheme="minorHAnsi" w:hAnsiTheme="minorHAnsi" w:cstheme="minorHAnsi"/>
                <w:szCs w:val="24"/>
                <w:lang w:val="en-GB" w:eastAsia="en-GB"/>
              </w:rPr>
              <w:t>Conference notes that during the recent cyber</w:t>
            </w:r>
            <w:r w:rsidRPr="00A02374">
              <w:rPr>
                <w:rFonts w:asciiTheme="minorHAnsi" w:hAnsiTheme="minorHAnsi" w:cstheme="minorHAnsi"/>
                <w:szCs w:val="24"/>
                <w:lang w:val="en-GB" w:eastAsia="en-GB"/>
              </w:rPr>
              <w:noBreakHyphen/>
              <w:t>attack on Prospect, communication with members was passive rather than proactive. Although an announcement was placed on the Prospect website on</w:t>
            </w:r>
            <w:r w:rsidRPr="00A02374">
              <w:rPr>
                <w:rFonts w:asciiTheme="minorHAnsi" w:hAnsiTheme="minorHAnsi" w:cstheme="minorHAnsi"/>
                <w:color w:val="000000"/>
                <w:szCs w:val="24"/>
                <w:lang w:val="en-GB" w:eastAsia="en-GB"/>
              </w:rPr>
              <w:t xml:space="preserve"> </w:t>
            </w:r>
            <w:hyperlink r:id="rId9" w:tgtFrame="_top">
              <w:r w:rsidRPr="00A02374">
                <w:rPr>
                  <w:rStyle w:val="Hyperlink"/>
                  <w:rFonts w:asciiTheme="minorHAnsi" w:hAnsiTheme="minorHAnsi" w:cstheme="minorHAnsi"/>
                  <w:color w:val="000000"/>
                  <w:szCs w:val="24"/>
                  <w:u w:val="none"/>
                  <w:lang w:val="en-GB" w:eastAsia="en-GB"/>
                </w:rPr>
                <w:t>19 June 2025</w:t>
              </w:r>
            </w:hyperlink>
            <w:r w:rsidRPr="00A02374">
              <w:rPr>
                <w:rFonts w:asciiTheme="minorHAnsi" w:hAnsiTheme="minorHAnsi" w:cstheme="minorHAnsi"/>
                <w:color w:val="000000"/>
                <w:szCs w:val="24"/>
                <w:lang w:val="en-GB" w:eastAsia="en-GB"/>
              </w:rPr>
              <w:t xml:space="preserve">, </w:t>
            </w:r>
            <w:r w:rsidRPr="00A02374">
              <w:rPr>
                <w:rFonts w:asciiTheme="minorHAnsi" w:hAnsiTheme="minorHAnsi" w:cstheme="minorHAnsi"/>
                <w:szCs w:val="24"/>
                <w:lang w:val="en-GB" w:eastAsia="en-GB"/>
              </w:rPr>
              <w:t>many members did not learn of the incident until October, when individuals were contacted with offers of Experian membership to help mitigate potential consequences of the breach. Branch Officials were likewise not informed until October.</w:t>
            </w:r>
          </w:p>
          <w:p w14:paraId="249C2FE4" w14:textId="77777777" w:rsidR="00E97604" w:rsidRPr="00A02374" w:rsidRDefault="00E97604" w:rsidP="00E97604">
            <w:pPr>
              <w:rPr>
                <w:rFonts w:asciiTheme="minorHAnsi" w:hAnsiTheme="minorHAnsi" w:cstheme="minorHAnsi"/>
                <w:szCs w:val="24"/>
                <w:lang w:val="en-GB"/>
              </w:rPr>
            </w:pPr>
          </w:p>
          <w:p w14:paraId="16E605B0" w14:textId="77777777" w:rsidR="00E97604" w:rsidRPr="00A02374" w:rsidRDefault="00E97604" w:rsidP="00E97604">
            <w:pPr>
              <w:rPr>
                <w:rFonts w:asciiTheme="minorHAnsi" w:hAnsiTheme="minorHAnsi" w:cstheme="minorHAnsi"/>
                <w:szCs w:val="24"/>
                <w:lang w:val="en-GB"/>
              </w:rPr>
            </w:pPr>
            <w:r w:rsidRPr="00A02374">
              <w:rPr>
                <w:rFonts w:asciiTheme="minorHAnsi" w:hAnsiTheme="minorHAnsi" w:cstheme="minorHAnsi"/>
                <w:szCs w:val="24"/>
                <w:lang w:val="en-GB"/>
              </w:rPr>
              <w:t>Conference further notes that this delay meant members were unaware for several months that their personal data may have been compromised. Members have a legitimate expectation that their personal information will be safeguarded by Prospect and to be notified at the earliest possible stage as and when risks arise.</w:t>
            </w:r>
          </w:p>
          <w:p w14:paraId="1174EBD6" w14:textId="77777777" w:rsidR="00E97604" w:rsidRPr="00A02374" w:rsidRDefault="00E97604" w:rsidP="00E97604">
            <w:pPr>
              <w:rPr>
                <w:rFonts w:asciiTheme="minorHAnsi" w:hAnsiTheme="minorHAnsi" w:cstheme="minorHAnsi"/>
                <w:szCs w:val="24"/>
                <w:lang w:val="en-GB"/>
              </w:rPr>
            </w:pPr>
          </w:p>
          <w:p w14:paraId="4D881B60" w14:textId="77777777" w:rsidR="00E97604" w:rsidRPr="00A02374" w:rsidRDefault="00E97604" w:rsidP="00E97604">
            <w:pPr>
              <w:rPr>
                <w:rFonts w:asciiTheme="minorHAnsi" w:hAnsiTheme="minorHAnsi" w:cstheme="minorHAnsi"/>
                <w:szCs w:val="24"/>
                <w:lang w:val="en-GB"/>
              </w:rPr>
            </w:pPr>
            <w:r w:rsidRPr="00A02374">
              <w:rPr>
                <w:rFonts w:asciiTheme="minorHAnsi" w:hAnsiTheme="minorHAnsi" w:cstheme="minorHAnsi"/>
                <w:szCs w:val="24"/>
                <w:lang w:val="en-GB"/>
              </w:rPr>
              <w:t>Conference therefore instructs the RMG National Committee to press the NEC to review and amend current arrangements as appropriate to ensure that, in the event of any future cyber</w:t>
            </w:r>
            <w:r w:rsidRPr="00A02374">
              <w:rPr>
                <w:rFonts w:asciiTheme="minorHAnsi" w:hAnsiTheme="minorHAnsi" w:cstheme="minorHAnsi"/>
                <w:szCs w:val="24"/>
                <w:lang w:val="en-GB"/>
              </w:rPr>
              <w:noBreakHyphen/>
              <w:t>attacks affecting Prospect, all members are individually informed at the same time as, or immediately after, information is published on the Prospect website.</w:t>
            </w:r>
          </w:p>
          <w:p w14:paraId="7C2F8FA6" w14:textId="77777777" w:rsidR="004A44C4" w:rsidRDefault="004A44C4">
            <w:pPr>
              <w:widowControl/>
              <w:spacing w:line="280" w:lineRule="exact"/>
              <w:rPr>
                <w:rFonts w:ascii="Calibri" w:eastAsia="Calibri" w:hAnsi="Calibri"/>
                <w:kern w:val="0"/>
                <w:szCs w:val="24"/>
                <w:lang w:val="en-GB" w:eastAsia="en-US"/>
              </w:rPr>
            </w:pPr>
          </w:p>
          <w:p w14:paraId="1CCD82B1" w14:textId="2898080B" w:rsidR="00B96D7D" w:rsidRPr="00A02374" w:rsidRDefault="00B96D7D">
            <w:pPr>
              <w:widowControl/>
              <w:spacing w:line="280" w:lineRule="exact"/>
              <w:rPr>
                <w:rFonts w:ascii="Calibri" w:eastAsia="Calibri" w:hAnsi="Calibri"/>
                <w:kern w:val="0"/>
                <w:szCs w:val="24"/>
                <w:lang w:val="en-GB" w:eastAsia="en-US"/>
              </w:rPr>
            </w:pPr>
            <w:r w:rsidRPr="00B96D7D">
              <w:rPr>
                <w:rFonts w:ascii="Calibri" w:hAnsi="Calibri"/>
                <w:b/>
                <w:szCs w:val="24"/>
                <w:lang w:val="en-GB"/>
              </w:rPr>
              <w:t>Action</w:t>
            </w:r>
            <w:r>
              <w:rPr>
                <w:rFonts w:ascii="Calibri" w:hAnsi="Calibri"/>
                <w:bCs/>
                <w:szCs w:val="24"/>
                <w:lang w:val="en-GB"/>
              </w:rPr>
              <w:t>: Motion passed on to the NEC</w:t>
            </w:r>
            <w:r w:rsidR="00DC1C9C">
              <w:rPr>
                <w:rFonts w:ascii="Calibri" w:hAnsi="Calibri"/>
                <w:bCs/>
                <w:szCs w:val="24"/>
                <w:lang w:val="en-GB"/>
              </w:rPr>
              <w:t>.</w:t>
            </w:r>
            <w:r w:rsidR="003637F5">
              <w:rPr>
                <w:rFonts w:ascii="Calibri" w:hAnsi="Calibri"/>
                <w:bCs/>
                <w:szCs w:val="24"/>
                <w:lang w:val="en-GB"/>
              </w:rPr>
              <w:t xml:space="preserve">  (See note in parentheses on Resolution 6.)</w:t>
            </w:r>
          </w:p>
        </w:tc>
        <w:tc>
          <w:tcPr>
            <w:tcW w:w="1418" w:type="dxa"/>
            <w:tcMar>
              <w:left w:w="85" w:type="dxa"/>
              <w:right w:w="85" w:type="dxa"/>
            </w:tcMar>
          </w:tcPr>
          <w:p w14:paraId="131B89E2" w14:textId="5F48E60A" w:rsidR="004A44C4" w:rsidRPr="00A02374" w:rsidRDefault="008044C6">
            <w:pPr>
              <w:spacing w:line="280" w:lineRule="exact"/>
              <w:jc w:val="center"/>
              <w:rPr>
                <w:rFonts w:ascii="Calibri" w:hAnsi="Calibri"/>
                <w:b/>
                <w:szCs w:val="24"/>
                <w:lang w:val="en-GB"/>
              </w:rPr>
            </w:pPr>
            <w:r>
              <w:rPr>
                <w:rFonts w:ascii="Calibri" w:hAnsi="Calibri"/>
                <w:b/>
                <w:szCs w:val="24"/>
                <w:lang w:val="en-GB"/>
              </w:rPr>
              <w:t>Carried</w:t>
            </w:r>
          </w:p>
        </w:tc>
      </w:tr>
      <w:tr w:rsidR="004A44C4" w:rsidRPr="00A02374" w14:paraId="651BB3D7" w14:textId="77777777" w:rsidTr="00FE58D6">
        <w:tc>
          <w:tcPr>
            <w:tcW w:w="1305" w:type="dxa"/>
            <w:tcMar>
              <w:left w:w="85" w:type="dxa"/>
              <w:right w:w="85" w:type="dxa"/>
            </w:tcMar>
          </w:tcPr>
          <w:p w14:paraId="727964DD" w14:textId="77777777" w:rsidR="004A44C4" w:rsidRPr="00A02374" w:rsidRDefault="004A44C4">
            <w:pPr>
              <w:spacing w:line="280" w:lineRule="exact"/>
              <w:jc w:val="center"/>
              <w:rPr>
                <w:rFonts w:asciiTheme="minorHAnsi" w:hAnsiTheme="minorHAnsi" w:cstheme="minorHAnsi"/>
                <w:b/>
                <w:szCs w:val="24"/>
                <w:lang w:val="en-GB"/>
              </w:rPr>
            </w:pPr>
            <w:r w:rsidRPr="00A02374">
              <w:rPr>
                <w:rFonts w:asciiTheme="minorHAnsi" w:hAnsiTheme="minorHAnsi" w:cstheme="minorHAnsi"/>
                <w:b/>
                <w:szCs w:val="24"/>
                <w:lang w:val="en-GB"/>
              </w:rPr>
              <w:t>10</w:t>
            </w:r>
          </w:p>
        </w:tc>
        <w:tc>
          <w:tcPr>
            <w:tcW w:w="6946" w:type="dxa"/>
            <w:tcMar>
              <w:left w:w="85" w:type="dxa"/>
              <w:right w:w="85" w:type="dxa"/>
            </w:tcMar>
            <w:vAlign w:val="bottom"/>
          </w:tcPr>
          <w:p w14:paraId="640721BD" w14:textId="77777777" w:rsidR="00E97604" w:rsidRPr="00A02374" w:rsidRDefault="00E97604" w:rsidP="00E97604">
            <w:pPr>
              <w:rPr>
                <w:rFonts w:asciiTheme="minorHAnsi" w:hAnsiTheme="minorHAnsi" w:cstheme="minorHAnsi"/>
                <w:szCs w:val="24"/>
                <w:lang w:val="en-GB"/>
              </w:rPr>
            </w:pPr>
            <w:r w:rsidRPr="00A02374">
              <w:rPr>
                <w:rFonts w:asciiTheme="minorHAnsi" w:hAnsiTheme="minorHAnsi" w:cstheme="minorHAnsi"/>
                <w:szCs w:val="24"/>
                <w:lang w:val="en-GB"/>
              </w:rPr>
              <w:t xml:space="preserve">This Conference instructs the NC to engage with Prospect to actively promote continued Prospect membership at the point of retirement. Conference notes that many members leave Prospect on retirement, resulting in the loss of valuable experience, knowledge, and </w:t>
            </w:r>
            <w:r w:rsidRPr="00A02374">
              <w:rPr>
                <w:rFonts w:asciiTheme="minorHAnsi" w:hAnsiTheme="minorHAnsi" w:cstheme="minorHAnsi"/>
                <w:szCs w:val="24"/>
                <w:lang w:val="en-GB"/>
              </w:rPr>
              <w:lastRenderedPageBreak/>
              <w:t>commitment. Conference believes that Prospect membership should be lifelong and that retired members continue to have much to contribute to the union’s work, particularly in supporting campaigns on pensions, public services, and fairness at work.</w:t>
            </w:r>
          </w:p>
          <w:p w14:paraId="00A63E7C" w14:textId="77777777" w:rsidR="00E97604" w:rsidRPr="00A02374" w:rsidRDefault="00E97604" w:rsidP="00E97604">
            <w:pPr>
              <w:rPr>
                <w:rFonts w:asciiTheme="minorHAnsi" w:hAnsiTheme="minorHAnsi" w:cstheme="minorHAnsi"/>
                <w:szCs w:val="24"/>
                <w:lang w:val="en-GB"/>
              </w:rPr>
            </w:pPr>
          </w:p>
          <w:p w14:paraId="04B7C0F7" w14:textId="77777777" w:rsidR="00E97604" w:rsidRPr="00A02374" w:rsidRDefault="00E97604" w:rsidP="00E97604">
            <w:pPr>
              <w:rPr>
                <w:rFonts w:asciiTheme="minorHAnsi" w:hAnsiTheme="minorHAnsi" w:cstheme="minorHAnsi"/>
                <w:szCs w:val="24"/>
                <w:lang w:val="en-GB"/>
              </w:rPr>
            </w:pPr>
            <w:r w:rsidRPr="00A02374">
              <w:rPr>
                <w:rFonts w:asciiTheme="minorHAnsi" w:hAnsiTheme="minorHAnsi" w:cstheme="minorHAnsi"/>
                <w:szCs w:val="24"/>
                <w:lang w:val="en-GB"/>
              </w:rPr>
              <w:t>Conference resolves to:</w:t>
            </w:r>
          </w:p>
          <w:p w14:paraId="187273C3" w14:textId="77777777" w:rsidR="00E97604" w:rsidRPr="00A02374" w:rsidRDefault="00E97604" w:rsidP="00E97604">
            <w:pPr>
              <w:pStyle w:val="ListParagraph"/>
              <w:numPr>
                <w:ilvl w:val="1"/>
                <w:numId w:val="6"/>
              </w:numPr>
              <w:tabs>
                <w:tab w:val="left" w:pos="1134"/>
                <w:tab w:val="left" w:pos="6861"/>
              </w:tabs>
              <w:suppressAutoHyphens/>
              <w:rPr>
                <w:rFonts w:asciiTheme="minorHAnsi" w:hAnsiTheme="minorHAnsi" w:cstheme="minorHAnsi"/>
                <w:sz w:val="24"/>
                <w:szCs w:val="24"/>
              </w:rPr>
            </w:pPr>
            <w:r w:rsidRPr="00A02374">
              <w:rPr>
                <w:rFonts w:asciiTheme="minorHAnsi" w:hAnsiTheme="minorHAnsi" w:cstheme="minorHAnsi"/>
                <w:sz w:val="24"/>
                <w:szCs w:val="24"/>
              </w:rPr>
              <w:t>Promote continued Prospect membership at the point of retirement.</w:t>
            </w:r>
          </w:p>
          <w:p w14:paraId="79CFCF5E" w14:textId="77777777" w:rsidR="00E97604" w:rsidRPr="00A02374" w:rsidRDefault="00E97604" w:rsidP="00E97604">
            <w:pPr>
              <w:pStyle w:val="ListParagraph"/>
              <w:numPr>
                <w:ilvl w:val="1"/>
                <w:numId w:val="6"/>
              </w:numPr>
              <w:tabs>
                <w:tab w:val="left" w:pos="1134"/>
                <w:tab w:val="left" w:pos="6861"/>
              </w:tabs>
              <w:suppressAutoHyphens/>
              <w:rPr>
                <w:rFonts w:asciiTheme="minorHAnsi" w:hAnsiTheme="minorHAnsi" w:cstheme="minorHAnsi"/>
                <w:sz w:val="24"/>
                <w:szCs w:val="24"/>
              </w:rPr>
            </w:pPr>
            <w:r w:rsidRPr="00A02374">
              <w:rPr>
                <w:rFonts w:asciiTheme="minorHAnsi" w:hAnsiTheme="minorHAnsi" w:cstheme="minorHAnsi"/>
                <w:sz w:val="24"/>
                <w:szCs w:val="24"/>
              </w:rPr>
              <w:t>Strengthen and publicise Retired Members’ Groups across all sectors.</w:t>
            </w:r>
          </w:p>
          <w:p w14:paraId="34534DAE" w14:textId="77777777" w:rsidR="00E97604" w:rsidRPr="00A02374" w:rsidRDefault="00E97604" w:rsidP="00E97604">
            <w:pPr>
              <w:pStyle w:val="ListParagraph"/>
              <w:numPr>
                <w:ilvl w:val="1"/>
                <w:numId w:val="6"/>
              </w:numPr>
              <w:tabs>
                <w:tab w:val="left" w:pos="1134"/>
                <w:tab w:val="left" w:pos="6861"/>
              </w:tabs>
              <w:suppressAutoHyphens/>
              <w:rPr>
                <w:rFonts w:asciiTheme="minorHAnsi" w:hAnsiTheme="minorHAnsi" w:cstheme="minorHAnsi"/>
                <w:sz w:val="24"/>
                <w:szCs w:val="24"/>
              </w:rPr>
            </w:pPr>
            <w:r w:rsidRPr="00A02374">
              <w:rPr>
                <w:rFonts w:asciiTheme="minorHAnsi" w:hAnsiTheme="minorHAnsi" w:cstheme="minorHAnsi"/>
                <w:sz w:val="24"/>
                <w:szCs w:val="24"/>
              </w:rPr>
              <w:t>Offer clear information on reduced or honorary membership options for retired members.</w:t>
            </w:r>
          </w:p>
          <w:p w14:paraId="7AD7D3EA" w14:textId="77777777" w:rsidR="00E97604" w:rsidRPr="00A02374" w:rsidRDefault="00E97604" w:rsidP="00E97604">
            <w:pPr>
              <w:pStyle w:val="ListParagraph"/>
              <w:numPr>
                <w:ilvl w:val="1"/>
                <w:numId w:val="6"/>
              </w:numPr>
              <w:tabs>
                <w:tab w:val="left" w:pos="1134"/>
                <w:tab w:val="left" w:pos="6861"/>
              </w:tabs>
              <w:suppressAutoHyphens/>
              <w:rPr>
                <w:rFonts w:asciiTheme="minorHAnsi" w:hAnsiTheme="minorHAnsi" w:cstheme="minorHAnsi"/>
                <w:sz w:val="24"/>
                <w:szCs w:val="24"/>
              </w:rPr>
            </w:pPr>
            <w:r w:rsidRPr="00A02374">
              <w:rPr>
                <w:rFonts w:asciiTheme="minorHAnsi" w:hAnsiTheme="minorHAnsi" w:cstheme="minorHAnsi"/>
                <w:sz w:val="24"/>
                <w:szCs w:val="24"/>
              </w:rPr>
              <w:t>Encourage branches to involve retired members in appropriate campaigns and activities.</w:t>
            </w:r>
          </w:p>
          <w:p w14:paraId="44E9B1B1" w14:textId="77777777" w:rsidR="00E97604" w:rsidRPr="00A02374" w:rsidRDefault="00E97604" w:rsidP="00E97604">
            <w:pPr>
              <w:pStyle w:val="ListParagraph"/>
              <w:rPr>
                <w:rFonts w:asciiTheme="minorHAnsi" w:hAnsiTheme="minorHAnsi" w:cstheme="minorHAnsi"/>
                <w:sz w:val="24"/>
                <w:szCs w:val="24"/>
              </w:rPr>
            </w:pPr>
          </w:p>
          <w:p w14:paraId="02B210CA" w14:textId="77777777" w:rsidR="00E97604" w:rsidRDefault="00E97604" w:rsidP="00E97604">
            <w:pPr>
              <w:pStyle w:val="ListParagraph"/>
              <w:ind w:left="0"/>
              <w:rPr>
                <w:rFonts w:asciiTheme="minorHAnsi" w:hAnsiTheme="minorHAnsi" w:cstheme="minorHAnsi"/>
                <w:sz w:val="24"/>
                <w:szCs w:val="24"/>
              </w:rPr>
            </w:pPr>
            <w:r w:rsidRPr="00A02374">
              <w:rPr>
                <w:rFonts w:asciiTheme="minorHAnsi" w:hAnsiTheme="minorHAnsi" w:cstheme="minorHAnsi"/>
                <w:b/>
                <w:bCs/>
                <w:sz w:val="24"/>
                <w:szCs w:val="24"/>
              </w:rPr>
              <w:t>Supporting statement</w:t>
            </w:r>
            <w:r w:rsidRPr="00A02374">
              <w:rPr>
                <w:rFonts w:asciiTheme="minorHAnsi" w:hAnsiTheme="minorHAnsi" w:cstheme="minorHAnsi"/>
                <w:sz w:val="24"/>
                <w:szCs w:val="24"/>
              </w:rPr>
              <w:t>: Prospect’s retired members remain a vital part of our community. Their experience and loyalty enrich our union and help maintain continuity between generations. Encouraging members to stay with Prospect after retirement strengthens our voice and our collective ability to defend members, past and present.</w:t>
            </w:r>
          </w:p>
          <w:p w14:paraId="19B63A90" w14:textId="77777777" w:rsidR="00686593" w:rsidRDefault="00686593" w:rsidP="00E97604">
            <w:pPr>
              <w:pStyle w:val="ListParagraph"/>
              <w:ind w:left="0"/>
              <w:rPr>
                <w:rFonts w:asciiTheme="minorHAnsi" w:hAnsiTheme="minorHAnsi" w:cstheme="minorHAnsi"/>
                <w:sz w:val="24"/>
                <w:szCs w:val="24"/>
              </w:rPr>
            </w:pPr>
          </w:p>
          <w:p w14:paraId="3E5A8B71" w14:textId="665AB2B7" w:rsidR="004A44C4" w:rsidRPr="009F2671" w:rsidRDefault="00686593" w:rsidP="009F2671">
            <w:pPr>
              <w:pStyle w:val="ListParagraph"/>
              <w:ind w:left="0"/>
              <w:rPr>
                <w:rFonts w:asciiTheme="minorHAnsi" w:hAnsiTheme="minorHAnsi" w:cstheme="minorHAnsi"/>
                <w:sz w:val="24"/>
                <w:szCs w:val="24"/>
              </w:rPr>
            </w:pPr>
            <w:r w:rsidRPr="00686593">
              <w:rPr>
                <w:rFonts w:asciiTheme="minorHAnsi" w:hAnsiTheme="minorHAnsi" w:cstheme="minorHAnsi"/>
                <w:b/>
                <w:bCs/>
                <w:sz w:val="24"/>
                <w:szCs w:val="24"/>
              </w:rPr>
              <w:t>Action</w:t>
            </w:r>
            <w:r>
              <w:rPr>
                <w:rFonts w:asciiTheme="minorHAnsi" w:hAnsiTheme="minorHAnsi" w:cstheme="minorHAnsi"/>
                <w:sz w:val="24"/>
                <w:szCs w:val="24"/>
              </w:rPr>
              <w:t xml:space="preserve">: </w:t>
            </w:r>
            <w:r w:rsidR="00B96D7D">
              <w:rPr>
                <w:rFonts w:asciiTheme="minorHAnsi" w:hAnsiTheme="minorHAnsi" w:cstheme="minorHAnsi"/>
                <w:sz w:val="24"/>
                <w:szCs w:val="24"/>
              </w:rPr>
              <w:t>Re points 1 &amp; 3, a</w:t>
            </w:r>
            <w:r>
              <w:rPr>
                <w:rFonts w:asciiTheme="minorHAnsi" w:hAnsiTheme="minorHAnsi" w:cstheme="minorHAnsi"/>
                <w:sz w:val="24"/>
                <w:szCs w:val="24"/>
              </w:rPr>
              <w:t xml:space="preserve">n RMG stall </w:t>
            </w:r>
            <w:r w:rsidR="00A30398">
              <w:rPr>
                <w:rFonts w:asciiTheme="minorHAnsi" w:hAnsiTheme="minorHAnsi" w:cstheme="minorHAnsi"/>
                <w:sz w:val="24"/>
                <w:szCs w:val="24"/>
              </w:rPr>
              <w:t xml:space="preserve">with a pop-up stand </w:t>
            </w:r>
            <w:r>
              <w:rPr>
                <w:rFonts w:asciiTheme="minorHAnsi" w:hAnsiTheme="minorHAnsi" w:cstheme="minorHAnsi"/>
                <w:sz w:val="24"/>
                <w:szCs w:val="24"/>
              </w:rPr>
              <w:t>has been arranged for the 2026 Prospect National Conference.</w:t>
            </w:r>
            <w:r w:rsidR="00B6523A">
              <w:rPr>
                <w:rFonts w:asciiTheme="minorHAnsi" w:hAnsiTheme="minorHAnsi" w:cstheme="minorHAnsi"/>
                <w:sz w:val="24"/>
                <w:szCs w:val="24"/>
              </w:rPr>
              <w:t xml:space="preserve">  </w:t>
            </w:r>
            <w:r w:rsidR="00257BD3" w:rsidRPr="00B00030">
              <w:rPr>
                <w:rFonts w:asciiTheme="minorHAnsi" w:hAnsiTheme="minorHAnsi" w:cstheme="minorHAnsi"/>
                <w:sz w:val="24"/>
                <w:szCs w:val="24"/>
              </w:rPr>
              <w:t xml:space="preserve">Regarding point 4, the NC </w:t>
            </w:r>
            <w:r w:rsidR="00B00030" w:rsidRPr="00B00030">
              <w:rPr>
                <w:rFonts w:asciiTheme="minorHAnsi" w:hAnsiTheme="minorHAnsi" w:cstheme="minorHAnsi"/>
                <w:sz w:val="24"/>
                <w:szCs w:val="24"/>
              </w:rPr>
              <w:t>and Group Secretary</w:t>
            </w:r>
            <w:r w:rsidR="00B00030">
              <w:rPr>
                <w:rFonts w:asciiTheme="minorHAnsi" w:hAnsiTheme="minorHAnsi" w:cstheme="minorHAnsi"/>
                <w:sz w:val="24"/>
                <w:szCs w:val="24"/>
              </w:rPr>
              <w:t xml:space="preserve"> </w:t>
            </w:r>
            <w:r w:rsidR="00257BD3" w:rsidRPr="00B00030">
              <w:rPr>
                <w:rFonts w:asciiTheme="minorHAnsi" w:hAnsiTheme="minorHAnsi" w:cstheme="minorHAnsi"/>
                <w:sz w:val="24"/>
                <w:szCs w:val="24"/>
              </w:rPr>
              <w:t>will look to involve members in campaigns as it did over members of BCSSS.  See also action on PSSEC for Resolution 15.</w:t>
            </w:r>
          </w:p>
        </w:tc>
        <w:tc>
          <w:tcPr>
            <w:tcW w:w="1418" w:type="dxa"/>
            <w:tcMar>
              <w:left w:w="85" w:type="dxa"/>
              <w:right w:w="85" w:type="dxa"/>
            </w:tcMar>
          </w:tcPr>
          <w:p w14:paraId="32A45348" w14:textId="7F71F096" w:rsidR="004A44C4" w:rsidRPr="00A02374" w:rsidRDefault="008044C6">
            <w:pPr>
              <w:spacing w:line="280" w:lineRule="exact"/>
              <w:jc w:val="center"/>
              <w:rPr>
                <w:rFonts w:ascii="Calibri" w:hAnsi="Calibri"/>
                <w:b/>
                <w:szCs w:val="24"/>
                <w:lang w:val="en-GB"/>
              </w:rPr>
            </w:pPr>
            <w:r>
              <w:rPr>
                <w:rFonts w:ascii="Calibri" w:hAnsi="Calibri"/>
                <w:b/>
                <w:szCs w:val="24"/>
                <w:lang w:val="en-GB"/>
              </w:rPr>
              <w:lastRenderedPageBreak/>
              <w:t>Carried</w:t>
            </w:r>
          </w:p>
        </w:tc>
      </w:tr>
      <w:tr w:rsidR="004A44C4" w:rsidRPr="00A02374" w14:paraId="362CEB46" w14:textId="77777777" w:rsidTr="00FE58D6">
        <w:tc>
          <w:tcPr>
            <w:tcW w:w="1305" w:type="dxa"/>
            <w:tcMar>
              <w:left w:w="85" w:type="dxa"/>
              <w:right w:w="85" w:type="dxa"/>
            </w:tcMar>
          </w:tcPr>
          <w:p w14:paraId="72CF3244" w14:textId="77777777" w:rsidR="004A44C4" w:rsidRPr="00A02374" w:rsidRDefault="004A44C4">
            <w:pPr>
              <w:spacing w:line="280" w:lineRule="exact"/>
              <w:jc w:val="center"/>
              <w:rPr>
                <w:rFonts w:asciiTheme="minorHAnsi" w:hAnsiTheme="minorHAnsi" w:cstheme="minorHAnsi"/>
                <w:b/>
                <w:szCs w:val="24"/>
                <w:lang w:val="en-GB"/>
              </w:rPr>
            </w:pPr>
            <w:r w:rsidRPr="00A02374">
              <w:rPr>
                <w:rFonts w:asciiTheme="minorHAnsi" w:hAnsiTheme="minorHAnsi" w:cstheme="minorHAnsi"/>
                <w:b/>
                <w:szCs w:val="24"/>
                <w:lang w:val="en-GB"/>
              </w:rPr>
              <w:t>11</w:t>
            </w:r>
          </w:p>
        </w:tc>
        <w:tc>
          <w:tcPr>
            <w:tcW w:w="6946" w:type="dxa"/>
            <w:tcMar>
              <w:left w:w="85" w:type="dxa"/>
              <w:right w:w="85" w:type="dxa"/>
            </w:tcMar>
          </w:tcPr>
          <w:p w14:paraId="6CA0039E" w14:textId="77777777" w:rsidR="00E97604" w:rsidRPr="00A02374" w:rsidRDefault="00E97604" w:rsidP="00E97604">
            <w:pPr>
              <w:rPr>
                <w:rFonts w:asciiTheme="minorHAnsi" w:hAnsiTheme="minorHAnsi" w:cstheme="minorHAnsi"/>
                <w:szCs w:val="24"/>
                <w:lang w:val="en-GB"/>
              </w:rPr>
            </w:pPr>
            <w:r w:rsidRPr="00A02374">
              <w:rPr>
                <w:rFonts w:asciiTheme="minorHAnsi" w:hAnsiTheme="minorHAnsi" w:cstheme="minorHAnsi"/>
                <w:color w:val="000000"/>
                <w:szCs w:val="24"/>
                <w:lang w:val="en-GB"/>
              </w:rPr>
              <w:t>This conference instructs the</w:t>
            </w:r>
            <w:r w:rsidRPr="00A02374">
              <w:rPr>
                <w:rFonts w:asciiTheme="minorHAnsi" w:hAnsiTheme="minorHAnsi" w:cstheme="minorHAnsi"/>
                <w:szCs w:val="24"/>
                <w:lang w:val="en-GB"/>
              </w:rPr>
              <w:t xml:space="preserve"> National Committee to ensure that the National Executive Committee utilises the experience of Retired Members for the benefit of Employed Members, in areas such as Workshops and Mentoring</w:t>
            </w:r>
            <w:r w:rsidRPr="00A02374">
              <w:rPr>
                <w:rFonts w:asciiTheme="minorHAnsi" w:hAnsiTheme="minorHAnsi" w:cstheme="minorHAnsi"/>
                <w:color w:val="000000"/>
                <w:szCs w:val="24"/>
                <w:lang w:val="en-GB"/>
              </w:rPr>
              <w:t>.</w:t>
            </w:r>
          </w:p>
          <w:p w14:paraId="42BA89AE" w14:textId="77777777" w:rsidR="004A44C4" w:rsidRDefault="004A44C4">
            <w:pPr>
              <w:spacing w:line="280" w:lineRule="exact"/>
              <w:rPr>
                <w:rFonts w:ascii="Calibri" w:hAnsi="Calibri"/>
                <w:szCs w:val="24"/>
                <w:lang w:val="en-GB"/>
              </w:rPr>
            </w:pPr>
          </w:p>
          <w:p w14:paraId="03523745" w14:textId="44F32A3B" w:rsidR="009652E6" w:rsidRPr="004B192B" w:rsidRDefault="009652E6" w:rsidP="004B192B">
            <w:pPr>
              <w:rPr>
                <w:rFonts w:asciiTheme="minorHAnsi" w:hAnsiTheme="minorHAnsi" w:cstheme="minorHAnsi"/>
              </w:rPr>
            </w:pPr>
            <w:r w:rsidRPr="00B96D7D">
              <w:rPr>
                <w:rFonts w:ascii="Calibri" w:hAnsi="Calibri"/>
                <w:b/>
                <w:szCs w:val="24"/>
                <w:lang w:val="en-GB"/>
              </w:rPr>
              <w:t>Action</w:t>
            </w:r>
            <w:r>
              <w:rPr>
                <w:rFonts w:ascii="Calibri" w:hAnsi="Calibri"/>
                <w:bCs/>
                <w:szCs w:val="24"/>
                <w:lang w:val="en-GB"/>
              </w:rPr>
              <w:t>: Motion passed on to the NEC</w:t>
            </w:r>
            <w:r w:rsidR="00DC1C9C" w:rsidRPr="003637F5">
              <w:rPr>
                <w:rFonts w:asciiTheme="minorHAnsi" w:hAnsiTheme="minorHAnsi" w:cstheme="minorHAnsi"/>
                <w:bCs/>
                <w:szCs w:val="24"/>
                <w:lang w:val="en-GB"/>
              </w:rPr>
              <w:t>.</w:t>
            </w:r>
            <w:r w:rsidR="003637F5" w:rsidRPr="003637F5">
              <w:rPr>
                <w:rFonts w:asciiTheme="minorHAnsi" w:hAnsiTheme="minorHAnsi" w:cstheme="minorHAnsi"/>
                <w:bCs/>
                <w:szCs w:val="24"/>
                <w:lang w:val="en-GB"/>
              </w:rPr>
              <w:t xml:space="preserve">  </w:t>
            </w:r>
            <w:r w:rsidR="003637F5" w:rsidRPr="003637F5">
              <w:rPr>
                <w:rFonts w:asciiTheme="minorHAnsi" w:hAnsiTheme="minorHAnsi" w:cstheme="minorHAnsi"/>
              </w:rPr>
              <w:t xml:space="preserve">(A note was added to point out that an additional means of </w:t>
            </w:r>
            <w:proofErr w:type="spellStart"/>
            <w:r w:rsidR="003637F5" w:rsidRPr="003637F5">
              <w:rPr>
                <w:rFonts w:asciiTheme="minorHAnsi" w:hAnsiTheme="minorHAnsi" w:cstheme="minorHAnsi"/>
              </w:rPr>
              <w:t>utilisation</w:t>
            </w:r>
            <w:proofErr w:type="spellEnd"/>
            <w:r w:rsidR="003637F5" w:rsidRPr="003637F5">
              <w:rPr>
                <w:rFonts w:asciiTheme="minorHAnsi" w:hAnsiTheme="minorHAnsi" w:cstheme="minorHAnsi"/>
              </w:rPr>
              <w:t xml:space="preserve"> is encouraging letters to MPs, as was done on behalf of BCSSS members.)</w:t>
            </w:r>
            <w:r w:rsidR="00B00030">
              <w:rPr>
                <w:rFonts w:asciiTheme="minorHAnsi" w:hAnsiTheme="minorHAnsi" w:cstheme="minorHAnsi"/>
              </w:rPr>
              <w:t xml:space="preserve">  The Group Secretary will continue to liaise with colleagues to find</w:t>
            </w:r>
            <w:r w:rsidR="004B192B">
              <w:rPr>
                <w:rFonts w:asciiTheme="minorHAnsi" w:hAnsiTheme="minorHAnsi" w:cstheme="minorHAnsi"/>
              </w:rPr>
              <w:t xml:space="preserve"> good examples for Retired Members’ involvement, </w:t>
            </w:r>
            <w:proofErr w:type="gramStart"/>
            <w:r w:rsidR="004B192B">
              <w:rPr>
                <w:rFonts w:asciiTheme="minorHAnsi" w:hAnsiTheme="minorHAnsi" w:cstheme="minorHAnsi"/>
              </w:rPr>
              <w:t>similar to</w:t>
            </w:r>
            <w:proofErr w:type="gramEnd"/>
            <w:r w:rsidR="004B192B">
              <w:rPr>
                <w:rFonts w:asciiTheme="minorHAnsi" w:hAnsiTheme="minorHAnsi" w:cstheme="minorHAnsi"/>
              </w:rPr>
              <w:t xml:space="preserve"> the lobbying over the Pensions Bill.</w:t>
            </w:r>
          </w:p>
        </w:tc>
        <w:tc>
          <w:tcPr>
            <w:tcW w:w="1418" w:type="dxa"/>
            <w:tcMar>
              <w:left w:w="85" w:type="dxa"/>
              <w:right w:w="85" w:type="dxa"/>
            </w:tcMar>
          </w:tcPr>
          <w:p w14:paraId="041F0C71" w14:textId="18DB26FC" w:rsidR="004A44C4" w:rsidRPr="00A02374" w:rsidRDefault="008044C6">
            <w:pPr>
              <w:spacing w:line="280" w:lineRule="exact"/>
              <w:jc w:val="center"/>
              <w:rPr>
                <w:rFonts w:ascii="Calibri" w:hAnsi="Calibri"/>
                <w:b/>
                <w:szCs w:val="24"/>
                <w:lang w:val="en-GB"/>
              </w:rPr>
            </w:pPr>
            <w:r>
              <w:rPr>
                <w:rFonts w:ascii="Calibri" w:hAnsi="Calibri"/>
                <w:b/>
                <w:szCs w:val="24"/>
                <w:lang w:val="en-GB"/>
              </w:rPr>
              <w:t>Carried</w:t>
            </w:r>
          </w:p>
        </w:tc>
      </w:tr>
      <w:tr w:rsidR="004A44C4" w:rsidRPr="00A02374" w14:paraId="430EC948" w14:textId="77777777" w:rsidTr="00FE58D6">
        <w:tc>
          <w:tcPr>
            <w:tcW w:w="1305" w:type="dxa"/>
            <w:tcMar>
              <w:left w:w="85" w:type="dxa"/>
              <w:right w:w="85" w:type="dxa"/>
            </w:tcMar>
          </w:tcPr>
          <w:p w14:paraId="744AAAF1" w14:textId="77777777" w:rsidR="004A44C4" w:rsidRPr="00A02374" w:rsidRDefault="004A44C4">
            <w:pPr>
              <w:spacing w:line="280" w:lineRule="exact"/>
              <w:jc w:val="center"/>
              <w:rPr>
                <w:rFonts w:asciiTheme="minorHAnsi" w:hAnsiTheme="minorHAnsi" w:cstheme="minorHAnsi"/>
                <w:b/>
                <w:szCs w:val="24"/>
                <w:lang w:val="en-GB"/>
              </w:rPr>
            </w:pPr>
            <w:r w:rsidRPr="00A02374">
              <w:rPr>
                <w:rFonts w:asciiTheme="minorHAnsi" w:hAnsiTheme="minorHAnsi" w:cstheme="minorHAnsi"/>
                <w:b/>
                <w:szCs w:val="24"/>
                <w:lang w:val="en-GB"/>
              </w:rPr>
              <w:t>12</w:t>
            </w:r>
          </w:p>
        </w:tc>
        <w:tc>
          <w:tcPr>
            <w:tcW w:w="6946" w:type="dxa"/>
            <w:tcMar>
              <w:left w:w="85" w:type="dxa"/>
              <w:right w:w="85" w:type="dxa"/>
            </w:tcMar>
          </w:tcPr>
          <w:p w14:paraId="55598348" w14:textId="77777777" w:rsidR="00E97604" w:rsidRPr="00A02374" w:rsidRDefault="00E97604" w:rsidP="00E97604">
            <w:pPr>
              <w:jc w:val="both"/>
              <w:rPr>
                <w:rFonts w:asciiTheme="minorHAnsi" w:hAnsiTheme="minorHAnsi" w:cstheme="minorHAnsi"/>
                <w:szCs w:val="24"/>
                <w:lang w:val="en-GB"/>
              </w:rPr>
            </w:pPr>
            <w:r w:rsidRPr="00A02374">
              <w:rPr>
                <w:rFonts w:asciiTheme="minorHAnsi" w:hAnsiTheme="minorHAnsi" w:cstheme="minorHAnsi"/>
                <w:szCs w:val="24"/>
                <w:lang w:val="en-GB"/>
              </w:rPr>
              <w:t xml:space="preserve">Following the Chancellor’s introduction of a car mileage tax for electric and hybrid cars, as well as removing the cap on fuel duty, these increases together with general inflation have made driving more expensive. This conference notes the increase in the cost of driving since the Prospect mileage rate was last set and instructs the National Committee to </w:t>
            </w:r>
            <w:proofErr w:type="gramStart"/>
            <w:r w:rsidRPr="00A02374">
              <w:rPr>
                <w:rFonts w:asciiTheme="minorHAnsi" w:hAnsiTheme="minorHAnsi" w:cstheme="minorHAnsi"/>
                <w:szCs w:val="24"/>
                <w:lang w:val="en-GB"/>
              </w:rPr>
              <w:t>enter into</w:t>
            </w:r>
            <w:proofErr w:type="gramEnd"/>
            <w:r w:rsidRPr="00A02374">
              <w:rPr>
                <w:rFonts w:asciiTheme="minorHAnsi" w:hAnsiTheme="minorHAnsi" w:cstheme="minorHAnsi"/>
                <w:szCs w:val="24"/>
                <w:lang w:val="en-GB"/>
              </w:rPr>
              <w:t xml:space="preserve"> negotiations with the NEC to increase the rate</w:t>
            </w:r>
          </w:p>
          <w:p w14:paraId="158B7348" w14:textId="77777777" w:rsidR="004A44C4" w:rsidRDefault="004A44C4">
            <w:pPr>
              <w:spacing w:line="280" w:lineRule="exact"/>
              <w:rPr>
                <w:rFonts w:ascii="Calibri" w:hAnsi="Calibri"/>
                <w:szCs w:val="24"/>
                <w:lang w:val="en-GB"/>
              </w:rPr>
            </w:pPr>
          </w:p>
          <w:p w14:paraId="3DFF88FA" w14:textId="5991E3E1" w:rsidR="009652E6" w:rsidRPr="00A02374" w:rsidRDefault="009652E6">
            <w:pPr>
              <w:spacing w:line="280" w:lineRule="exact"/>
              <w:rPr>
                <w:rFonts w:ascii="Calibri" w:hAnsi="Calibri"/>
                <w:szCs w:val="24"/>
                <w:lang w:val="en-GB"/>
              </w:rPr>
            </w:pPr>
            <w:r w:rsidRPr="00B96D7D">
              <w:rPr>
                <w:rFonts w:ascii="Calibri" w:hAnsi="Calibri"/>
                <w:b/>
                <w:szCs w:val="24"/>
                <w:lang w:val="en-GB"/>
              </w:rPr>
              <w:t>Action</w:t>
            </w:r>
            <w:r>
              <w:rPr>
                <w:rFonts w:ascii="Calibri" w:hAnsi="Calibri"/>
                <w:bCs/>
                <w:szCs w:val="24"/>
                <w:lang w:val="en-GB"/>
              </w:rPr>
              <w:t>: Motion passed on to the NEC</w:t>
            </w:r>
            <w:r w:rsidR="00DC1C9C">
              <w:rPr>
                <w:rFonts w:ascii="Calibri" w:hAnsi="Calibri"/>
                <w:bCs/>
                <w:szCs w:val="24"/>
                <w:lang w:val="en-GB"/>
              </w:rPr>
              <w:t xml:space="preserve">. </w:t>
            </w:r>
            <w:r w:rsidR="002A69E9">
              <w:rPr>
                <w:rFonts w:ascii="Calibri" w:hAnsi="Calibri"/>
                <w:bCs/>
                <w:szCs w:val="24"/>
                <w:lang w:val="en-GB"/>
              </w:rPr>
              <w:t xml:space="preserve"> </w:t>
            </w:r>
            <w:r w:rsidR="003637F5" w:rsidRPr="003637F5">
              <w:rPr>
                <w:rFonts w:ascii="Calibri" w:hAnsi="Calibri"/>
                <w:bCs/>
                <w:szCs w:val="24"/>
                <w:lang w:val="en-GB"/>
              </w:rPr>
              <w:t>(</w:t>
            </w:r>
            <w:r w:rsidR="003637F5">
              <w:rPr>
                <w:rFonts w:ascii="Calibri" w:hAnsi="Calibri"/>
                <w:bCs/>
                <w:szCs w:val="24"/>
                <w:lang w:val="en-GB"/>
              </w:rPr>
              <w:t>A note was added that t</w:t>
            </w:r>
            <w:r w:rsidR="003637F5" w:rsidRPr="003637F5">
              <w:rPr>
                <w:rFonts w:ascii="Calibri" w:hAnsi="Calibri"/>
                <w:bCs/>
                <w:szCs w:val="24"/>
                <w:lang w:val="en-GB"/>
              </w:rPr>
              <w:t xml:space="preserve">he RMG NC notes that the second sentence of Resolution 12 has apparently been overtaken by an increase in the mileage rate to 45p. Nevertheless, the NEC </w:t>
            </w:r>
            <w:r w:rsidR="003637F5">
              <w:rPr>
                <w:rFonts w:ascii="Calibri" w:hAnsi="Calibri"/>
                <w:bCs/>
                <w:szCs w:val="24"/>
                <w:lang w:val="en-GB"/>
              </w:rPr>
              <w:t>wa</w:t>
            </w:r>
            <w:r w:rsidR="003637F5" w:rsidRPr="003637F5">
              <w:rPr>
                <w:rFonts w:ascii="Calibri" w:hAnsi="Calibri"/>
                <w:bCs/>
                <w:szCs w:val="24"/>
                <w:lang w:val="en-GB"/>
              </w:rPr>
              <w:t>s urged to review the rate in the light of the global fuel crisis.)</w:t>
            </w:r>
            <w:r w:rsidR="004B192B">
              <w:rPr>
                <w:rFonts w:ascii="Calibri" w:hAnsi="Calibri"/>
                <w:bCs/>
                <w:szCs w:val="24"/>
                <w:lang w:val="en-GB"/>
              </w:rPr>
              <w:t xml:space="preserve">  One relevant fact is that the current mileage rate is the HMRC-approved tax-free mileage rate for business travel.</w:t>
            </w:r>
          </w:p>
        </w:tc>
        <w:tc>
          <w:tcPr>
            <w:tcW w:w="1418" w:type="dxa"/>
            <w:tcMar>
              <w:left w:w="85" w:type="dxa"/>
              <w:right w:w="85" w:type="dxa"/>
            </w:tcMar>
          </w:tcPr>
          <w:p w14:paraId="0F36C420" w14:textId="4A848896" w:rsidR="004A44C4" w:rsidRPr="00A02374" w:rsidRDefault="008044C6">
            <w:pPr>
              <w:spacing w:line="280" w:lineRule="exact"/>
              <w:jc w:val="center"/>
              <w:rPr>
                <w:rFonts w:ascii="Calibri" w:hAnsi="Calibri"/>
                <w:b/>
                <w:szCs w:val="24"/>
                <w:lang w:val="en-GB"/>
              </w:rPr>
            </w:pPr>
            <w:r>
              <w:rPr>
                <w:rFonts w:ascii="Calibri" w:hAnsi="Calibri"/>
                <w:b/>
                <w:szCs w:val="24"/>
                <w:lang w:val="en-GB"/>
              </w:rPr>
              <w:t>Carried</w:t>
            </w:r>
          </w:p>
        </w:tc>
      </w:tr>
      <w:tr w:rsidR="004A44C4" w:rsidRPr="00A02374" w14:paraId="16DB0BF0" w14:textId="77777777" w:rsidTr="00FE58D6">
        <w:tc>
          <w:tcPr>
            <w:tcW w:w="1305" w:type="dxa"/>
            <w:tcMar>
              <w:left w:w="85" w:type="dxa"/>
              <w:right w:w="85" w:type="dxa"/>
            </w:tcMar>
          </w:tcPr>
          <w:p w14:paraId="294C97D7" w14:textId="77777777" w:rsidR="004A44C4" w:rsidRPr="00A02374" w:rsidRDefault="004A44C4">
            <w:pPr>
              <w:spacing w:line="280" w:lineRule="exact"/>
              <w:jc w:val="center"/>
              <w:rPr>
                <w:rFonts w:asciiTheme="minorHAnsi" w:hAnsiTheme="minorHAnsi" w:cstheme="minorHAnsi"/>
                <w:b/>
                <w:szCs w:val="24"/>
                <w:lang w:val="en-GB"/>
              </w:rPr>
            </w:pPr>
            <w:r w:rsidRPr="00A02374">
              <w:rPr>
                <w:rFonts w:asciiTheme="minorHAnsi" w:hAnsiTheme="minorHAnsi" w:cstheme="minorHAnsi"/>
                <w:b/>
                <w:szCs w:val="24"/>
                <w:lang w:val="en-GB"/>
              </w:rPr>
              <w:t>13</w:t>
            </w:r>
          </w:p>
        </w:tc>
        <w:tc>
          <w:tcPr>
            <w:tcW w:w="6946" w:type="dxa"/>
            <w:tcMar>
              <w:left w:w="85" w:type="dxa"/>
              <w:right w:w="85" w:type="dxa"/>
            </w:tcMar>
          </w:tcPr>
          <w:p w14:paraId="696906A6" w14:textId="77777777" w:rsidR="00E97604" w:rsidRPr="00A02374" w:rsidRDefault="00E97604" w:rsidP="00E97604">
            <w:pPr>
              <w:rPr>
                <w:rFonts w:asciiTheme="minorHAnsi" w:hAnsiTheme="minorHAnsi" w:cstheme="minorHAnsi"/>
                <w:szCs w:val="24"/>
                <w:lang w:val="en-GB"/>
              </w:rPr>
            </w:pPr>
            <w:r w:rsidRPr="00A02374">
              <w:rPr>
                <w:rFonts w:asciiTheme="minorHAnsi" w:hAnsiTheme="minorHAnsi" w:cstheme="minorHAnsi"/>
                <w:szCs w:val="24"/>
                <w:lang w:val="en-GB"/>
              </w:rPr>
              <w:t>Conference notes that the National Pensioners Convention (NPC) undertakes valuable work in defending the pensions of both current and future pensioners. This work directly benefits all Prospect members, as today’s workforce will themselves become tomorrow’s pensioners.</w:t>
            </w:r>
          </w:p>
          <w:p w14:paraId="7D30F4BA" w14:textId="77777777" w:rsidR="00E97604" w:rsidRPr="00A02374" w:rsidRDefault="00E97604" w:rsidP="00E97604">
            <w:pPr>
              <w:rPr>
                <w:rFonts w:asciiTheme="minorHAnsi" w:hAnsiTheme="minorHAnsi" w:cstheme="minorHAnsi"/>
                <w:szCs w:val="24"/>
                <w:lang w:val="en-GB"/>
              </w:rPr>
            </w:pPr>
          </w:p>
          <w:p w14:paraId="5A298F63" w14:textId="77777777" w:rsidR="00E97604" w:rsidRPr="00A02374" w:rsidRDefault="00E97604" w:rsidP="00E97604">
            <w:pPr>
              <w:rPr>
                <w:rFonts w:asciiTheme="minorHAnsi" w:hAnsiTheme="minorHAnsi" w:cstheme="minorHAnsi"/>
                <w:szCs w:val="24"/>
                <w:lang w:val="en-GB"/>
              </w:rPr>
            </w:pPr>
            <w:r w:rsidRPr="00A02374">
              <w:rPr>
                <w:rFonts w:asciiTheme="minorHAnsi" w:hAnsiTheme="minorHAnsi" w:cstheme="minorHAnsi"/>
                <w:szCs w:val="24"/>
                <w:lang w:val="en-GB"/>
              </w:rPr>
              <w:t>Conference further notes that the NPC was founded in 1979 by renowned trade unionist Jack Jones, former General Secretary of the Transport and General Workers’ Union, who established the organisation to give pensioners a united campaigning voice.</w:t>
            </w:r>
          </w:p>
          <w:p w14:paraId="076EA0B6" w14:textId="77777777" w:rsidR="00E97604" w:rsidRPr="00A02374" w:rsidRDefault="00E97604" w:rsidP="00E97604">
            <w:pPr>
              <w:rPr>
                <w:rFonts w:asciiTheme="minorHAnsi" w:hAnsiTheme="minorHAnsi" w:cstheme="minorHAnsi"/>
                <w:szCs w:val="24"/>
                <w:lang w:val="en-GB"/>
              </w:rPr>
            </w:pPr>
          </w:p>
          <w:p w14:paraId="3A180E21" w14:textId="77777777" w:rsidR="00E97604" w:rsidRPr="00A02374" w:rsidRDefault="00E97604" w:rsidP="00E97604">
            <w:pPr>
              <w:rPr>
                <w:rFonts w:asciiTheme="minorHAnsi" w:hAnsiTheme="minorHAnsi" w:cstheme="minorHAnsi"/>
                <w:szCs w:val="24"/>
                <w:lang w:val="en-GB"/>
              </w:rPr>
            </w:pPr>
            <w:r w:rsidRPr="00A02374">
              <w:rPr>
                <w:rFonts w:asciiTheme="minorHAnsi" w:hAnsiTheme="minorHAnsi" w:cstheme="minorHAnsi"/>
                <w:szCs w:val="24"/>
                <w:lang w:val="en-GB"/>
              </w:rPr>
              <w:t>Conference also notes that Prospect has historically supported the NPC through modest financial contributions (£2,250 in 2023 and £2,600 in 2024) and through the active involvement of Prospect representatives, individual members, and the Retired Members Group. We commend the NPC for its vital role in safeguarding pension rights.</w:t>
            </w:r>
          </w:p>
          <w:p w14:paraId="47E2E1AD" w14:textId="77777777" w:rsidR="00E97604" w:rsidRPr="00A02374" w:rsidRDefault="00E97604" w:rsidP="00E97604">
            <w:pPr>
              <w:rPr>
                <w:rFonts w:asciiTheme="minorHAnsi" w:hAnsiTheme="minorHAnsi" w:cstheme="minorHAnsi"/>
                <w:szCs w:val="24"/>
                <w:lang w:val="en-GB"/>
              </w:rPr>
            </w:pPr>
          </w:p>
          <w:p w14:paraId="65F893F2" w14:textId="77777777" w:rsidR="00E97604" w:rsidRPr="00A02374" w:rsidRDefault="00E97604" w:rsidP="00E97604">
            <w:pPr>
              <w:rPr>
                <w:rFonts w:asciiTheme="minorHAnsi" w:hAnsiTheme="minorHAnsi" w:cstheme="minorHAnsi"/>
                <w:szCs w:val="24"/>
                <w:lang w:val="en-GB"/>
              </w:rPr>
            </w:pPr>
            <w:r w:rsidRPr="00A02374">
              <w:rPr>
                <w:rFonts w:asciiTheme="minorHAnsi" w:hAnsiTheme="minorHAnsi" w:cstheme="minorHAnsi"/>
                <w:szCs w:val="24"/>
                <w:lang w:val="en-GB"/>
              </w:rPr>
              <w:t xml:space="preserve">Conference should also note that the NPC has recently restructured as a Company Limited by Guarantee to strengthen its financial stability. However, despite this change, the organisation’s ongoing viability remains </w:t>
            </w:r>
            <w:proofErr w:type="gramStart"/>
            <w:r w:rsidRPr="00A02374">
              <w:rPr>
                <w:rFonts w:asciiTheme="minorHAnsi" w:hAnsiTheme="minorHAnsi" w:cstheme="minorHAnsi"/>
                <w:szCs w:val="24"/>
                <w:lang w:val="en-GB"/>
              </w:rPr>
              <w:t>precarious</w:t>
            </w:r>
            <w:proofErr w:type="gramEnd"/>
            <w:r w:rsidRPr="00A02374">
              <w:rPr>
                <w:rFonts w:asciiTheme="minorHAnsi" w:hAnsiTheme="minorHAnsi" w:cstheme="minorHAnsi"/>
                <w:szCs w:val="24"/>
                <w:lang w:val="en-GB"/>
              </w:rPr>
              <w:t xml:space="preserve"> and we are now aware from recent feedback that redundancy notices effective from 31 January 2026 have been issued to 2 of their 3 paid employees.</w:t>
            </w:r>
          </w:p>
          <w:p w14:paraId="0C508C8D" w14:textId="77777777" w:rsidR="00E97604" w:rsidRPr="00A02374" w:rsidRDefault="00E97604" w:rsidP="00E97604">
            <w:pPr>
              <w:rPr>
                <w:rFonts w:asciiTheme="minorHAnsi" w:hAnsiTheme="minorHAnsi" w:cstheme="minorHAnsi"/>
                <w:szCs w:val="24"/>
                <w:lang w:val="en-GB"/>
              </w:rPr>
            </w:pPr>
          </w:p>
          <w:p w14:paraId="092CA457" w14:textId="77777777" w:rsidR="00E97604" w:rsidRPr="00A02374" w:rsidRDefault="00E97604" w:rsidP="00E97604">
            <w:pPr>
              <w:rPr>
                <w:rFonts w:asciiTheme="minorHAnsi" w:hAnsiTheme="minorHAnsi" w:cstheme="minorHAnsi"/>
                <w:szCs w:val="24"/>
                <w:lang w:val="en-GB"/>
              </w:rPr>
            </w:pPr>
            <w:r w:rsidRPr="00A02374">
              <w:rPr>
                <w:rFonts w:asciiTheme="minorHAnsi" w:hAnsiTheme="minorHAnsi" w:cstheme="minorHAnsi"/>
                <w:szCs w:val="24"/>
                <w:lang w:val="en-GB"/>
              </w:rPr>
              <w:t>Conference therefore instructs the RMG National Committee (NC) to press the NEC to:</w:t>
            </w:r>
          </w:p>
          <w:p w14:paraId="10A94A0B" w14:textId="77777777" w:rsidR="00E97604" w:rsidRPr="00A02374" w:rsidRDefault="00E97604" w:rsidP="00E97604">
            <w:pPr>
              <w:widowControl/>
              <w:numPr>
                <w:ilvl w:val="0"/>
                <w:numId w:val="7"/>
              </w:numPr>
              <w:tabs>
                <w:tab w:val="left" w:pos="1134"/>
                <w:tab w:val="left" w:pos="6861"/>
              </w:tabs>
              <w:suppressAutoHyphens/>
              <w:ind w:left="1151" w:hanging="794"/>
              <w:rPr>
                <w:rFonts w:asciiTheme="minorHAnsi" w:hAnsiTheme="minorHAnsi" w:cstheme="minorHAnsi"/>
                <w:szCs w:val="24"/>
                <w:lang w:val="en-GB"/>
              </w:rPr>
            </w:pPr>
            <w:r w:rsidRPr="00A02374">
              <w:rPr>
                <w:rFonts w:asciiTheme="minorHAnsi" w:hAnsiTheme="minorHAnsi" w:cstheme="minorHAnsi"/>
                <w:szCs w:val="24"/>
                <w:lang w:val="en-GB"/>
              </w:rPr>
              <w:t>Review and increase the level of financial support provided by Prospect to the NPC to help secure its future.</w:t>
            </w:r>
          </w:p>
          <w:p w14:paraId="498A3075" w14:textId="77777777" w:rsidR="00E97604" w:rsidRPr="00A02374" w:rsidRDefault="00E97604" w:rsidP="00E97604">
            <w:pPr>
              <w:widowControl/>
              <w:numPr>
                <w:ilvl w:val="0"/>
                <w:numId w:val="7"/>
              </w:numPr>
              <w:tabs>
                <w:tab w:val="left" w:pos="1134"/>
                <w:tab w:val="left" w:pos="6861"/>
              </w:tabs>
              <w:suppressAutoHyphens/>
              <w:ind w:left="1151" w:hanging="794"/>
              <w:rPr>
                <w:rFonts w:asciiTheme="minorHAnsi" w:hAnsiTheme="minorHAnsi" w:cstheme="minorHAnsi"/>
                <w:szCs w:val="24"/>
                <w:lang w:val="en-GB"/>
              </w:rPr>
            </w:pPr>
            <w:r w:rsidRPr="00A02374">
              <w:rPr>
                <w:rFonts w:asciiTheme="minorHAnsi" w:hAnsiTheme="minorHAnsi" w:cstheme="minorHAnsi"/>
                <w:szCs w:val="24"/>
                <w:lang w:val="en-GB"/>
              </w:rPr>
              <w:t>Promote greater awareness of the NPC’s work among Prospect members and the wider trade union movement.</w:t>
            </w:r>
          </w:p>
          <w:p w14:paraId="5571D5A4" w14:textId="77777777" w:rsidR="00E97604" w:rsidRPr="00A02374" w:rsidRDefault="00E97604" w:rsidP="00E97604">
            <w:pPr>
              <w:widowControl/>
              <w:numPr>
                <w:ilvl w:val="0"/>
                <w:numId w:val="7"/>
              </w:numPr>
              <w:tabs>
                <w:tab w:val="left" w:pos="1134"/>
                <w:tab w:val="left" w:pos="6861"/>
              </w:tabs>
              <w:suppressAutoHyphens/>
              <w:ind w:left="1151" w:hanging="794"/>
              <w:rPr>
                <w:rFonts w:asciiTheme="minorHAnsi" w:hAnsiTheme="minorHAnsi" w:cstheme="minorHAnsi"/>
                <w:szCs w:val="24"/>
                <w:lang w:val="en-GB"/>
              </w:rPr>
            </w:pPr>
            <w:r w:rsidRPr="00A02374">
              <w:rPr>
                <w:rFonts w:asciiTheme="minorHAnsi" w:hAnsiTheme="minorHAnsi" w:cstheme="minorHAnsi"/>
                <w:szCs w:val="24"/>
                <w:lang w:val="en-GB"/>
              </w:rPr>
              <w:t>Facilitate improved communications more widely to provide greater visibility for individual members to be directed to the NPC funding page, thus enabling individuals to contribute directly if they wish.</w:t>
            </w:r>
          </w:p>
          <w:p w14:paraId="6DAFC192" w14:textId="77777777" w:rsidR="004A44C4" w:rsidRDefault="004A44C4">
            <w:pPr>
              <w:spacing w:line="280" w:lineRule="exact"/>
              <w:rPr>
                <w:rFonts w:ascii="Calibri" w:hAnsi="Calibri"/>
                <w:szCs w:val="24"/>
                <w:lang w:val="en-GB"/>
              </w:rPr>
            </w:pPr>
          </w:p>
          <w:p w14:paraId="3E47D381" w14:textId="508A97EB" w:rsidR="00686593" w:rsidRPr="00A02374" w:rsidRDefault="00686593">
            <w:pPr>
              <w:spacing w:line="280" w:lineRule="exact"/>
              <w:rPr>
                <w:rFonts w:ascii="Calibri" w:hAnsi="Calibri"/>
                <w:szCs w:val="24"/>
                <w:lang w:val="en-GB"/>
              </w:rPr>
            </w:pPr>
            <w:r w:rsidRPr="00686593">
              <w:rPr>
                <w:rFonts w:ascii="Calibri" w:hAnsi="Calibri"/>
                <w:b/>
                <w:bCs/>
                <w:szCs w:val="24"/>
                <w:lang w:val="en-GB"/>
              </w:rPr>
              <w:t>Action</w:t>
            </w:r>
            <w:r>
              <w:rPr>
                <w:rFonts w:ascii="Calibri" w:hAnsi="Calibri"/>
                <w:szCs w:val="24"/>
                <w:lang w:val="en-GB"/>
              </w:rPr>
              <w:t>:</w:t>
            </w:r>
            <w:r w:rsidR="009652E6">
              <w:rPr>
                <w:rFonts w:ascii="Calibri" w:hAnsi="Calibri"/>
                <w:bCs/>
                <w:szCs w:val="24"/>
                <w:lang w:val="en-GB"/>
              </w:rPr>
              <w:t xml:space="preserve"> Motion passed on to the NEC</w:t>
            </w:r>
            <w:r w:rsidR="00DC1C9C">
              <w:rPr>
                <w:rFonts w:ascii="Calibri" w:hAnsi="Calibri"/>
                <w:bCs/>
                <w:szCs w:val="24"/>
                <w:lang w:val="en-GB"/>
              </w:rPr>
              <w:t>.</w:t>
            </w:r>
            <w:r w:rsidR="009652E6">
              <w:rPr>
                <w:rFonts w:ascii="Calibri" w:hAnsi="Calibri"/>
                <w:bCs/>
                <w:szCs w:val="24"/>
                <w:lang w:val="en-GB"/>
              </w:rPr>
              <w:t xml:space="preserve">  </w:t>
            </w:r>
            <w:r w:rsidR="003637F5" w:rsidRPr="003637F5">
              <w:rPr>
                <w:rFonts w:ascii="Calibri" w:hAnsi="Calibri"/>
                <w:bCs/>
                <w:szCs w:val="24"/>
                <w:lang w:val="en-GB"/>
              </w:rPr>
              <w:t>(</w:t>
            </w:r>
            <w:r w:rsidR="00A17383">
              <w:rPr>
                <w:rFonts w:ascii="Calibri" w:hAnsi="Calibri"/>
                <w:bCs/>
                <w:szCs w:val="24"/>
                <w:lang w:val="en-GB"/>
              </w:rPr>
              <w:t>A note</w:t>
            </w:r>
            <w:r w:rsidR="003637F5" w:rsidRPr="003637F5">
              <w:rPr>
                <w:rFonts w:ascii="Calibri" w:hAnsi="Calibri"/>
                <w:bCs/>
                <w:szCs w:val="24"/>
                <w:lang w:val="en-GB"/>
              </w:rPr>
              <w:t xml:space="preserve"> </w:t>
            </w:r>
            <w:r w:rsidR="00A30471">
              <w:rPr>
                <w:rFonts w:ascii="Calibri" w:hAnsi="Calibri"/>
                <w:bCs/>
                <w:szCs w:val="24"/>
                <w:lang w:val="en-GB"/>
              </w:rPr>
              <w:t xml:space="preserve">was made, </w:t>
            </w:r>
            <w:r w:rsidR="003637F5" w:rsidRPr="003637F5">
              <w:rPr>
                <w:rFonts w:ascii="Calibri" w:hAnsi="Calibri"/>
                <w:bCs/>
                <w:szCs w:val="24"/>
                <w:lang w:val="en-GB"/>
              </w:rPr>
              <w:t>acknowledg</w:t>
            </w:r>
            <w:r w:rsidR="00A30471">
              <w:rPr>
                <w:rFonts w:ascii="Calibri" w:hAnsi="Calibri"/>
                <w:bCs/>
                <w:szCs w:val="24"/>
                <w:lang w:val="en-GB"/>
              </w:rPr>
              <w:t>ing</w:t>
            </w:r>
            <w:r w:rsidR="003637F5" w:rsidRPr="003637F5">
              <w:rPr>
                <w:rFonts w:ascii="Calibri" w:hAnsi="Calibri"/>
                <w:bCs/>
                <w:szCs w:val="24"/>
                <w:lang w:val="en-GB"/>
              </w:rPr>
              <w:t xml:space="preserve"> that £2000 was given by Prospect in response to the Emergency Appeal.)</w:t>
            </w:r>
          </w:p>
        </w:tc>
        <w:tc>
          <w:tcPr>
            <w:tcW w:w="1418" w:type="dxa"/>
            <w:tcMar>
              <w:left w:w="85" w:type="dxa"/>
              <w:right w:w="85" w:type="dxa"/>
            </w:tcMar>
          </w:tcPr>
          <w:p w14:paraId="6489D5C6" w14:textId="7B52B00A" w:rsidR="004A44C4" w:rsidRPr="00A02374" w:rsidRDefault="008044C6">
            <w:pPr>
              <w:spacing w:line="280" w:lineRule="exact"/>
              <w:jc w:val="center"/>
              <w:rPr>
                <w:rFonts w:ascii="Calibri" w:hAnsi="Calibri"/>
                <w:b/>
                <w:szCs w:val="24"/>
                <w:lang w:val="en-GB"/>
              </w:rPr>
            </w:pPr>
            <w:r>
              <w:rPr>
                <w:rFonts w:ascii="Calibri" w:hAnsi="Calibri"/>
                <w:b/>
                <w:szCs w:val="24"/>
                <w:lang w:val="en-GB"/>
              </w:rPr>
              <w:t>Carried</w:t>
            </w:r>
          </w:p>
        </w:tc>
      </w:tr>
      <w:tr w:rsidR="004A44C4" w:rsidRPr="00A02374" w14:paraId="124C9CF4" w14:textId="77777777" w:rsidTr="00FE58D6">
        <w:tc>
          <w:tcPr>
            <w:tcW w:w="1305" w:type="dxa"/>
            <w:tcMar>
              <w:left w:w="85" w:type="dxa"/>
              <w:right w:w="85" w:type="dxa"/>
            </w:tcMar>
          </w:tcPr>
          <w:p w14:paraId="6C65A517" w14:textId="77777777" w:rsidR="004A44C4" w:rsidRPr="00A02374" w:rsidRDefault="004A44C4">
            <w:pPr>
              <w:spacing w:line="280" w:lineRule="exact"/>
              <w:jc w:val="center"/>
              <w:rPr>
                <w:rFonts w:asciiTheme="minorHAnsi" w:hAnsiTheme="minorHAnsi" w:cstheme="minorHAnsi"/>
                <w:b/>
                <w:szCs w:val="24"/>
                <w:lang w:val="en-GB"/>
              </w:rPr>
            </w:pPr>
            <w:r w:rsidRPr="00A02374">
              <w:rPr>
                <w:rFonts w:asciiTheme="minorHAnsi" w:hAnsiTheme="minorHAnsi" w:cstheme="minorHAnsi"/>
                <w:b/>
                <w:szCs w:val="24"/>
                <w:lang w:val="en-GB"/>
              </w:rPr>
              <w:t>14</w:t>
            </w:r>
          </w:p>
        </w:tc>
        <w:tc>
          <w:tcPr>
            <w:tcW w:w="6946" w:type="dxa"/>
            <w:tcMar>
              <w:left w:w="85" w:type="dxa"/>
              <w:right w:w="85" w:type="dxa"/>
            </w:tcMar>
            <w:vAlign w:val="center"/>
          </w:tcPr>
          <w:p w14:paraId="75BA5D9B" w14:textId="77777777" w:rsidR="00E97604" w:rsidRPr="00A02374" w:rsidRDefault="00E97604" w:rsidP="00E97604">
            <w:pPr>
              <w:keepNext/>
              <w:keepLines/>
              <w:rPr>
                <w:rFonts w:asciiTheme="minorHAnsi" w:hAnsiTheme="minorHAnsi" w:cstheme="minorHAnsi"/>
                <w:color w:val="000000"/>
                <w:szCs w:val="24"/>
                <w:lang w:val="en-GB"/>
              </w:rPr>
            </w:pPr>
            <w:r w:rsidRPr="00A02374">
              <w:rPr>
                <w:rFonts w:asciiTheme="minorHAnsi" w:hAnsiTheme="minorHAnsi" w:cstheme="minorHAnsi"/>
                <w:color w:val="000000"/>
                <w:szCs w:val="24"/>
                <w:lang w:val="en-GB"/>
              </w:rPr>
              <w:t>Members are dismayed and frustrated at the ongoing portrayal of pensioners as a burden on society. Attacks on the state pension and the fostering of intergenerational tensions in the media and by political commentators are becoming increasingly prevalent. The South Scotland retired members believe that Prospect should be more proactive in countering these attacks.</w:t>
            </w:r>
          </w:p>
          <w:p w14:paraId="09A5F401" w14:textId="77777777" w:rsidR="00E97604" w:rsidRPr="00A02374" w:rsidRDefault="00E97604" w:rsidP="00E97604">
            <w:pPr>
              <w:rPr>
                <w:rFonts w:asciiTheme="minorHAnsi" w:hAnsiTheme="minorHAnsi" w:cstheme="minorHAnsi"/>
                <w:color w:val="000000"/>
                <w:szCs w:val="24"/>
                <w:lang w:val="en-GB"/>
              </w:rPr>
            </w:pPr>
          </w:p>
          <w:p w14:paraId="3E8E8508" w14:textId="77777777" w:rsidR="00E97604" w:rsidRPr="00A02374" w:rsidRDefault="00E97604" w:rsidP="00E97604">
            <w:pPr>
              <w:rPr>
                <w:rFonts w:asciiTheme="minorHAnsi" w:hAnsiTheme="minorHAnsi" w:cstheme="minorHAnsi"/>
                <w:szCs w:val="24"/>
                <w:lang w:val="en-GB"/>
              </w:rPr>
            </w:pPr>
            <w:r w:rsidRPr="00A02374">
              <w:rPr>
                <w:rFonts w:asciiTheme="minorHAnsi" w:hAnsiTheme="minorHAnsi" w:cstheme="minorHAnsi"/>
                <w:szCs w:val="24"/>
                <w:lang w:val="en-GB"/>
              </w:rPr>
              <w:t>This motion instructs the National Committee to campaign through the National Pensioners Convention and to encourage the Prospect National Executive Committee, to promote the significant, ongoing, financial and social contributions that pensioners continue to make.</w:t>
            </w:r>
          </w:p>
          <w:p w14:paraId="5D40E74A" w14:textId="77777777" w:rsidR="004A44C4" w:rsidRDefault="004A44C4">
            <w:pPr>
              <w:spacing w:line="280" w:lineRule="exact"/>
              <w:rPr>
                <w:rFonts w:ascii="Calibri" w:hAnsi="Calibri"/>
                <w:b/>
                <w:szCs w:val="24"/>
                <w:lang w:val="en-GB"/>
              </w:rPr>
            </w:pPr>
          </w:p>
          <w:p w14:paraId="1E8D3E4D" w14:textId="23F7372A" w:rsidR="009652E6" w:rsidRPr="00A02374" w:rsidRDefault="009652E6">
            <w:pPr>
              <w:spacing w:line="280" w:lineRule="exact"/>
              <w:rPr>
                <w:rFonts w:ascii="Calibri" w:hAnsi="Calibri"/>
                <w:b/>
                <w:szCs w:val="24"/>
                <w:lang w:val="en-GB"/>
              </w:rPr>
            </w:pPr>
            <w:r w:rsidRPr="00B96D7D">
              <w:rPr>
                <w:rFonts w:ascii="Calibri" w:hAnsi="Calibri"/>
                <w:b/>
                <w:szCs w:val="24"/>
                <w:lang w:val="en-GB"/>
              </w:rPr>
              <w:t>Action</w:t>
            </w:r>
            <w:r>
              <w:rPr>
                <w:rFonts w:ascii="Calibri" w:hAnsi="Calibri"/>
                <w:bCs/>
                <w:szCs w:val="24"/>
                <w:lang w:val="en-GB"/>
              </w:rPr>
              <w:t>: Motion passed on to the NEC</w:t>
            </w:r>
            <w:r w:rsidR="00DC1C9C">
              <w:rPr>
                <w:rFonts w:ascii="Calibri" w:hAnsi="Calibri"/>
                <w:bCs/>
                <w:szCs w:val="24"/>
                <w:lang w:val="en-GB"/>
              </w:rPr>
              <w:t>.</w:t>
            </w:r>
          </w:p>
        </w:tc>
        <w:tc>
          <w:tcPr>
            <w:tcW w:w="1418" w:type="dxa"/>
            <w:tcMar>
              <w:left w:w="85" w:type="dxa"/>
              <w:right w:w="85" w:type="dxa"/>
            </w:tcMar>
          </w:tcPr>
          <w:p w14:paraId="2B9BC7CC" w14:textId="01AB0F54" w:rsidR="004A44C4" w:rsidRPr="00A02374" w:rsidRDefault="008044C6">
            <w:pPr>
              <w:spacing w:line="280" w:lineRule="exact"/>
              <w:jc w:val="center"/>
              <w:rPr>
                <w:rFonts w:ascii="Calibri" w:hAnsi="Calibri"/>
                <w:b/>
                <w:szCs w:val="24"/>
                <w:lang w:val="en-GB"/>
              </w:rPr>
            </w:pPr>
            <w:r>
              <w:rPr>
                <w:rFonts w:ascii="Calibri" w:hAnsi="Calibri"/>
                <w:b/>
                <w:szCs w:val="24"/>
                <w:lang w:val="en-GB"/>
              </w:rPr>
              <w:t>Carried</w:t>
            </w:r>
          </w:p>
        </w:tc>
      </w:tr>
      <w:tr w:rsidR="004A44C4" w:rsidRPr="00A02374" w14:paraId="126D830C" w14:textId="77777777" w:rsidTr="00FE58D6">
        <w:tc>
          <w:tcPr>
            <w:tcW w:w="1305" w:type="dxa"/>
            <w:tcBorders>
              <w:bottom w:val="single" w:sz="4" w:space="0" w:color="auto"/>
            </w:tcBorders>
            <w:tcMar>
              <w:left w:w="85" w:type="dxa"/>
              <w:right w:w="85" w:type="dxa"/>
            </w:tcMar>
          </w:tcPr>
          <w:p w14:paraId="202DE6D4" w14:textId="77777777" w:rsidR="004A44C4" w:rsidRPr="00A02374" w:rsidRDefault="004A44C4">
            <w:pPr>
              <w:keepNext/>
              <w:spacing w:line="280" w:lineRule="exact"/>
              <w:rPr>
                <w:rFonts w:asciiTheme="minorHAnsi" w:hAnsiTheme="minorHAnsi" w:cstheme="minorHAnsi"/>
                <w:b/>
                <w:szCs w:val="24"/>
                <w:lang w:val="en-GB"/>
              </w:rPr>
            </w:pPr>
            <w:r w:rsidRPr="00A02374">
              <w:rPr>
                <w:rFonts w:asciiTheme="minorHAnsi" w:hAnsiTheme="minorHAnsi" w:cstheme="minorHAnsi"/>
                <w:b/>
                <w:szCs w:val="24"/>
                <w:lang w:val="en-GB"/>
              </w:rPr>
              <w:t>Section F:</w:t>
            </w:r>
          </w:p>
        </w:tc>
        <w:tc>
          <w:tcPr>
            <w:tcW w:w="6946" w:type="dxa"/>
            <w:tcMar>
              <w:left w:w="85" w:type="dxa"/>
              <w:right w:w="85" w:type="dxa"/>
            </w:tcMar>
            <w:vAlign w:val="center"/>
          </w:tcPr>
          <w:p w14:paraId="1BFD109C" w14:textId="69E5D9D7" w:rsidR="004A44C4" w:rsidRPr="00A02374" w:rsidRDefault="005A4252">
            <w:pPr>
              <w:keepNext/>
              <w:spacing w:line="280" w:lineRule="exact"/>
              <w:rPr>
                <w:rFonts w:ascii="Calibri" w:hAnsi="Calibri"/>
                <w:b/>
                <w:szCs w:val="24"/>
                <w:lang w:val="en-GB"/>
              </w:rPr>
            </w:pPr>
            <w:r w:rsidRPr="00A02374">
              <w:rPr>
                <w:rFonts w:asciiTheme="minorHAnsi" w:hAnsiTheme="minorHAnsi" w:cstheme="minorHAnsi"/>
                <w:b/>
                <w:bCs/>
                <w:szCs w:val="24"/>
                <w:lang w:val="en-GB"/>
              </w:rPr>
              <w:t>Communications</w:t>
            </w:r>
          </w:p>
        </w:tc>
        <w:tc>
          <w:tcPr>
            <w:tcW w:w="1418" w:type="dxa"/>
            <w:tcMar>
              <w:left w:w="85" w:type="dxa"/>
              <w:right w:w="85" w:type="dxa"/>
            </w:tcMar>
          </w:tcPr>
          <w:p w14:paraId="5672EFFC" w14:textId="77777777" w:rsidR="004A44C4" w:rsidRPr="00A02374" w:rsidRDefault="004A44C4">
            <w:pPr>
              <w:keepNext/>
              <w:spacing w:line="280" w:lineRule="exact"/>
              <w:jc w:val="center"/>
              <w:rPr>
                <w:rFonts w:ascii="Calibri" w:hAnsi="Calibri"/>
                <w:b/>
                <w:szCs w:val="24"/>
                <w:lang w:val="en-GB"/>
              </w:rPr>
            </w:pPr>
          </w:p>
        </w:tc>
      </w:tr>
      <w:tr w:rsidR="004A44C4" w:rsidRPr="00A02374" w14:paraId="6DEDEEF8" w14:textId="77777777" w:rsidTr="00FE58D6">
        <w:tc>
          <w:tcPr>
            <w:tcW w:w="1305" w:type="dxa"/>
            <w:tcMar>
              <w:left w:w="85" w:type="dxa"/>
              <w:right w:w="85" w:type="dxa"/>
            </w:tcMar>
          </w:tcPr>
          <w:p w14:paraId="0E491770" w14:textId="77777777" w:rsidR="004A44C4" w:rsidRPr="00A02374" w:rsidRDefault="004A44C4">
            <w:pPr>
              <w:spacing w:line="280" w:lineRule="exact"/>
              <w:jc w:val="center"/>
              <w:rPr>
                <w:rFonts w:asciiTheme="minorHAnsi" w:hAnsiTheme="minorHAnsi" w:cstheme="minorHAnsi"/>
                <w:b/>
                <w:szCs w:val="24"/>
                <w:lang w:val="en-GB"/>
              </w:rPr>
            </w:pPr>
            <w:r w:rsidRPr="00A02374">
              <w:rPr>
                <w:rFonts w:asciiTheme="minorHAnsi" w:hAnsiTheme="minorHAnsi" w:cstheme="minorHAnsi"/>
                <w:b/>
                <w:szCs w:val="24"/>
                <w:lang w:val="en-GB"/>
              </w:rPr>
              <w:t>15</w:t>
            </w:r>
          </w:p>
        </w:tc>
        <w:tc>
          <w:tcPr>
            <w:tcW w:w="6946" w:type="dxa"/>
            <w:tcMar>
              <w:left w:w="85" w:type="dxa"/>
              <w:right w:w="85" w:type="dxa"/>
            </w:tcMar>
          </w:tcPr>
          <w:p w14:paraId="5C3A16D1" w14:textId="793CB49D" w:rsidR="00E97604" w:rsidRPr="00A02374" w:rsidRDefault="00E97604" w:rsidP="00E97604">
            <w:pPr>
              <w:keepNext/>
              <w:spacing w:after="120" w:line="276" w:lineRule="auto"/>
              <w:rPr>
                <w:rFonts w:asciiTheme="minorHAnsi" w:hAnsiTheme="minorHAnsi" w:cstheme="minorHAnsi"/>
                <w:b/>
                <w:bCs/>
                <w:color w:val="FFC000" w:themeColor="accent4"/>
                <w:szCs w:val="24"/>
                <w:lang w:val="en-GB"/>
              </w:rPr>
            </w:pPr>
            <w:r>
              <w:rPr>
                <w:rFonts w:asciiTheme="minorHAnsi" w:hAnsiTheme="minorHAnsi" w:cstheme="minorHAnsi"/>
                <w:b/>
                <w:bCs/>
                <w:szCs w:val="24"/>
                <w:lang w:val="en-GB"/>
              </w:rPr>
              <w:t>(D</w:t>
            </w:r>
            <w:r w:rsidRPr="00A02374">
              <w:rPr>
                <w:rFonts w:asciiTheme="minorHAnsi" w:hAnsiTheme="minorHAnsi" w:cstheme="minorHAnsi"/>
                <w:b/>
                <w:bCs/>
                <w:szCs w:val="24"/>
                <w:lang w:val="en-GB"/>
              </w:rPr>
              <w:t>ebated as Reference Back to Actions Taken on Resolutions R2017.34, R2017.35 and R2023.3</w:t>
            </w:r>
            <w:r>
              <w:rPr>
                <w:rFonts w:asciiTheme="minorHAnsi" w:hAnsiTheme="minorHAnsi" w:cstheme="minorHAnsi"/>
                <w:b/>
                <w:bCs/>
                <w:szCs w:val="24"/>
                <w:lang w:val="en-GB"/>
              </w:rPr>
              <w:t>)</w:t>
            </w:r>
            <w:r w:rsidRPr="00A02374">
              <w:rPr>
                <w:rFonts w:asciiTheme="minorHAnsi" w:hAnsiTheme="minorHAnsi" w:cstheme="minorHAnsi"/>
                <w:b/>
                <w:bCs/>
                <w:szCs w:val="24"/>
                <w:lang w:val="en-GB"/>
              </w:rPr>
              <w:t xml:space="preserve"> </w:t>
            </w:r>
          </w:p>
          <w:p w14:paraId="3B8A4890" w14:textId="77777777" w:rsidR="00E97604" w:rsidRPr="00A02374" w:rsidRDefault="00E97604" w:rsidP="00E97604">
            <w:pPr>
              <w:pStyle w:val="TableContents"/>
              <w:spacing w:line="240" w:lineRule="auto"/>
              <w:rPr>
                <w:rFonts w:asciiTheme="minorHAnsi" w:hAnsiTheme="minorHAnsi" w:cstheme="minorHAnsi"/>
                <w:sz w:val="24"/>
                <w:szCs w:val="24"/>
              </w:rPr>
            </w:pPr>
            <w:r w:rsidRPr="00A02374">
              <w:rPr>
                <w:rFonts w:asciiTheme="minorHAnsi" w:hAnsiTheme="minorHAnsi" w:cstheme="minorHAnsi"/>
                <w:sz w:val="24"/>
                <w:szCs w:val="24"/>
              </w:rPr>
              <w:t xml:space="preserve">Conference notes the Resolution following from Motions 34 and 35 of RMG ADC of 2017 and Motion 3 of the RMG ADC of 2023 but is concerned at the seeming lack of Action on this issue thus far. Conference therefore instructs the NC to let members know of the </w:t>
            </w:r>
            <w:proofErr w:type="gramStart"/>
            <w:r w:rsidRPr="00A02374">
              <w:rPr>
                <w:rFonts w:asciiTheme="minorHAnsi" w:hAnsiTheme="minorHAnsi" w:cstheme="minorHAnsi"/>
                <w:sz w:val="24"/>
                <w:szCs w:val="24"/>
              </w:rPr>
              <w:t>up to date</w:t>
            </w:r>
            <w:proofErr w:type="gramEnd"/>
            <w:r w:rsidRPr="00A02374">
              <w:rPr>
                <w:rFonts w:asciiTheme="minorHAnsi" w:hAnsiTheme="minorHAnsi" w:cstheme="minorHAnsi"/>
                <w:sz w:val="24"/>
                <w:szCs w:val="24"/>
              </w:rPr>
              <w:t xml:space="preserve"> situation on these resolutions and the number, site names and achievements of these groups.</w:t>
            </w:r>
          </w:p>
          <w:p w14:paraId="430E8C30" w14:textId="77777777" w:rsidR="00E97604" w:rsidRPr="00A02374" w:rsidRDefault="00E97604" w:rsidP="00E97604">
            <w:pPr>
              <w:pStyle w:val="TableContents"/>
              <w:spacing w:line="240" w:lineRule="auto"/>
              <w:jc w:val="right"/>
              <w:rPr>
                <w:rFonts w:asciiTheme="minorHAnsi" w:hAnsiTheme="minorHAnsi" w:cstheme="minorHAnsi"/>
                <w:i/>
                <w:iCs/>
                <w:color w:val="000000"/>
                <w:sz w:val="24"/>
                <w:szCs w:val="24"/>
              </w:rPr>
            </w:pPr>
            <w:r w:rsidRPr="00A02374">
              <w:rPr>
                <w:rFonts w:asciiTheme="minorHAnsi" w:hAnsiTheme="minorHAnsi" w:cstheme="minorHAnsi"/>
                <w:i/>
                <w:iCs/>
                <w:color w:val="000000"/>
                <w:sz w:val="24"/>
                <w:szCs w:val="24"/>
              </w:rPr>
              <w:t>CMMDN D316</w:t>
            </w:r>
          </w:p>
          <w:p w14:paraId="2024D90B" w14:textId="77777777" w:rsidR="00E97604" w:rsidRPr="00A02374" w:rsidRDefault="00E97604" w:rsidP="00E97604">
            <w:pPr>
              <w:ind w:left="567"/>
              <w:rPr>
                <w:rFonts w:asciiTheme="minorHAnsi" w:hAnsiTheme="minorHAnsi" w:cstheme="minorHAnsi"/>
                <w:i/>
                <w:iCs/>
                <w:szCs w:val="24"/>
                <w:lang w:val="en-GB"/>
              </w:rPr>
            </w:pPr>
            <w:r w:rsidRPr="00A02374">
              <w:rPr>
                <w:rFonts w:asciiTheme="minorHAnsi" w:hAnsiTheme="minorHAnsi" w:cstheme="minorHAnsi"/>
                <w:i/>
                <w:iCs/>
                <w:szCs w:val="24"/>
                <w:lang w:val="en-GB"/>
              </w:rPr>
              <w:t>(Note: relevant resolutions included for information)</w:t>
            </w:r>
          </w:p>
          <w:p w14:paraId="40A73909" w14:textId="77777777" w:rsidR="00E97604" w:rsidRPr="00A02374" w:rsidRDefault="00E97604" w:rsidP="00E97604">
            <w:pPr>
              <w:ind w:left="567"/>
              <w:rPr>
                <w:rFonts w:asciiTheme="minorHAnsi" w:hAnsiTheme="minorHAnsi" w:cstheme="minorHAnsi"/>
                <w:szCs w:val="24"/>
                <w:lang w:val="en-GB"/>
              </w:rPr>
            </w:pPr>
            <w:r w:rsidRPr="00A02374">
              <w:rPr>
                <w:rFonts w:asciiTheme="minorHAnsi" w:eastAsia="Calibri" w:hAnsiTheme="minorHAnsi" w:cstheme="minorHAnsi"/>
                <w:b/>
                <w:bCs/>
                <w:szCs w:val="24"/>
                <w:lang w:val="en-GB"/>
              </w:rPr>
              <w:t>Resolution 34 2017</w:t>
            </w:r>
          </w:p>
          <w:p w14:paraId="6A43F764" w14:textId="77777777" w:rsidR="00E97604" w:rsidRDefault="00E97604" w:rsidP="00E97604">
            <w:pPr>
              <w:ind w:left="567"/>
              <w:rPr>
                <w:rFonts w:asciiTheme="minorHAnsi" w:eastAsia="Calibri" w:hAnsiTheme="minorHAnsi" w:cstheme="minorHAnsi"/>
                <w:bCs/>
                <w:szCs w:val="24"/>
                <w:lang w:val="en-GB"/>
              </w:rPr>
            </w:pPr>
            <w:r w:rsidRPr="00A02374">
              <w:rPr>
                <w:rFonts w:asciiTheme="minorHAnsi" w:eastAsia="Calibri" w:hAnsiTheme="minorHAnsi" w:cstheme="minorHAnsi"/>
                <w:bCs/>
                <w:szCs w:val="24"/>
                <w:lang w:val="en-GB"/>
              </w:rPr>
              <w:t>Conference notes that young people are often unaware of the benefits of trade union membership. Retired members of Prospect, and other trade unions, could provide a valuable resource to raise the profile of the trade union movement with young people by volunteering to address school and college age audiences on the workings of the trade unions in our society. The national committee is instructed to work with the NEC and the TUC as appropriate to make facilities available to retired members to equip, and encourage, them to undertake this work.</w:t>
            </w:r>
          </w:p>
          <w:p w14:paraId="6C25DF10" w14:textId="77777777" w:rsidR="00E97604" w:rsidRPr="00A02374" w:rsidRDefault="00E97604" w:rsidP="00E97604">
            <w:pPr>
              <w:ind w:left="567"/>
              <w:rPr>
                <w:rFonts w:asciiTheme="minorHAnsi" w:hAnsiTheme="minorHAnsi" w:cstheme="minorHAnsi"/>
                <w:szCs w:val="24"/>
                <w:lang w:val="en-GB"/>
              </w:rPr>
            </w:pPr>
          </w:p>
          <w:p w14:paraId="0082D88F" w14:textId="77777777" w:rsidR="00E97604" w:rsidRPr="00A02374" w:rsidRDefault="00E97604" w:rsidP="00E97604">
            <w:pPr>
              <w:ind w:left="567"/>
              <w:rPr>
                <w:rFonts w:asciiTheme="minorHAnsi" w:hAnsiTheme="minorHAnsi" w:cstheme="minorHAnsi"/>
                <w:szCs w:val="24"/>
                <w:lang w:val="en-GB"/>
              </w:rPr>
            </w:pPr>
            <w:r w:rsidRPr="00A02374">
              <w:rPr>
                <w:rFonts w:asciiTheme="minorHAnsi" w:eastAsia="Calibri" w:hAnsiTheme="minorHAnsi" w:cstheme="minorHAnsi"/>
                <w:b/>
                <w:bCs/>
                <w:szCs w:val="24"/>
                <w:lang w:val="en-GB"/>
              </w:rPr>
              <w:t>Resolution 35 2017</w:t>
            </w:r>
          </w:p>
          <w:p w14:paraId="06F66BD1" w14:textId="526A8C1A" w:rsidR="00E97604" w:rsidRPr="005B5891" w:rsidRDefault="00E97604" w:rsidP="005B5891">
            <w:pPr>
              <w:ind w:left="567"/>
              <w:rPr>
                <w:rFonts w:asciiTheme="minorHAnsi" w:hAnsiTheme="minorHAnsi" w:cstheme="minorHAnsi"/>
                <w:szCs w:val="24"/>
                <w:lang w:val="en-GB"/>
              </w:rPr>
            </w:pPr>
            <w:r w:rsidRPr="00A02374">
              <w:rPr>
                <w:rFonts w:asciiTheme="minorHAnsi" w:eastAsia="Calibri" w:hAnsiTheme="minorHAnsi" w:cstheme="minorHAnsi"/>
                <w:szCs w:val="24"/>
                <w:lang w:val="en-GB" w:eastAsia="ar-SA"/>
              </w:rPr>
              <w:t>This conference notes that Motions 14 and 23 of the 2016 RMG ADC could be assisted by encouraging the use of volunteer retired members as mentors and tutors</w:t>
            </w:r>
            <w:r w:rsidR="005B5891">
              <w:rPr>
                <w:rFonts w:asciiTheme="minorHAnsi" w:hAnsiTheme="minorHAnsi" w:cstheme="minorHAnsi"/>
                <w:szCs w:val="24"/>
                <w:lang w:val="en-GB"/>
              </w:rPr>
              <w:t xml:space="preserve"> </w:t>
            </w:r>
            <w:r w:rsidRPr="00A02374">
              <w:rPr>
                <w:rFonts w:asciiTheme="minorHAnsi" w:eastAsia="Calibri" w:hAnsiTheme="minorHAnsi" w:cstheme="minorHAnsi"/>
                <w:szCs w:val="24"/>
                <w:lang w:val="en-GB" w:eastAsia="ar-SA"/>
              </w:rPr>
              <w:t>within companies that have apprenticeships.</w:t>
            </w:r>
            <w:r w:rsidR="005B5891">
              <w:rPr>
                <w:rFonts w:asciiTheme="minorHAnsi" w:eastAsia="Calibri" w:hAnsiTheme="minorHAnsi" w:cstheme="minorHAnsi"/>
                <w:szCs w:val="24"/>
                <w:lang w:val="en-GB" w:eastAsia="ar-SA"/>
              </w:rPr>
              <w:t xml:space="preserve"> </w:t>
            </w:r>
            <w:r w:rsidRPr="00A02374">
              <w:rPr>
                <w:rFonts w:asciiTheme="minorHAnsi" w:eastAsia="Calibri" w:hAnsiTheme="minorHAnsi" w:cstheme="minorHAnsi"/>
                <w:szCs w:val="24"/>
                <w:lang w:val="en-GB" w:eastAsia="ar-SA"/>
              </w:rPr>
              <w:t xml:space="preserve"> Further, volunteers could also assist in</w:t>
            </w:r>
            <w:r w:rsidR="005B5891">
              <w:rPr>
                <w:rFonts w:asciiTheme="minorHAnsi" w:eastAsia="Calibri" w:hAnsiTheme="minorHAnsi" w:cstheme="minorHAnsi"/>
                <w:szCs w:val="24"/>
                <w:lang w:val="en-GB" w:eastAsia="ar-SA"/>
              </w:rPr>
              <w:t xml:space="preserve"> </w:t>
            </w:r>
            <w:r w:rsidRPr="00A02374">
              <w:rPr>
                <w:rFonts w:asciiTheme="minorHAnsi" w:eastAsia="Calibri" w:hAnsiTheme="minorHAnsi" w:cstheme="minorHAnsi"/>
                <w:szCs w:val="24"/>
                <w:lang w:val="en-GB" w:eastAsia="ar-SA"/>
              </w:rPr>
              <w:t>courses and presentations to those nearing retirement, such as were the case in</w:t>
            </w:r>
            <w:r w:rsidR="005B5891">
              <w:rPr>
                <w:rFonts w:asciiTheme="minorHAnsi" w:hAnsiTheme="minorHAnsi" w:cstheme="minorHAnsi"/>
                <w:szCs w:val="24"/>
                <w:lang w:val="en-GB"/>
              </w:rPr>
              <w:t xml:space="preserve"> </w:t>
            </w:r>
            <w:r w:rsidRPr="00A02374">
              <w:rPr>
                <w:rFonts w:asciiTheme="minorHAnsi" w:eastAsia="Calibri" w:hAnsiTheme="minorHAnsi" w:cstheme="minorHAnsi"/>
                <w:szCs w:val="24"/>
                <w:lang w:val="en-GB" w:eastAsia="ar-SA"/>
              </w:rPr>
              <w:t>National Grid.</w:t>
            </w:r>
            <w:r w:rsidR="005B5891">
              <w:rPr>
                <w:rFonts w:asciiTheme="minorHAnsi" w:eastAsia="Calibri" w:hAnsiTheme="minorHAnsi" w:cstheme="minorHAnsi"/>
                <w:szCs w:val="24"/>
                <w:lang w:val="en-GB" w:eastAsia="ar-SA"/>
              </w:rPr>
              <w:t xml:space="preserve"> </w:t>
            </w:r>
            <w:r w:rsidRPr="00A02374">
              <w:rPr>
                <w:rFonts w:asciiTheme="minorHAnsi" w:eastAsia="Calibri" w:hAnsiTheme="minorHAnsi" w:cstheme="minorHAnsi"/>
                <w:szCs w:val="24"/>
                <w:lang w:val="en-GB" w:eastAsia="ar-SA"/>
              </w:rPr>
              <w:t xml:space="preserve"> Conference instructs the National Committee to investigate if it is</w:t>
            </w:r>
            <w:r w:rsidR="005B5891">
              <w:rPr>
                <w:rFonts w:asciiTheme="minorHAnsi" w:hAnsiTheme="minorHAnsi" w:cstheme="minorHAnsi"/>
                <w:szCs w:val="24"/>
                <w:lang w:val="en-GB"/>
              </w:rPr>
              <w:t xml:space="preserve"> </w:t>
            </w:r>
            <w:r w:rsidRPr="00A02374">
              <w:rPr>
                <w:rFonts w:asciiTheme="minorHAnsi" w:eastAsia="Calibri" w:hAnsiTheme="minorHAnsi" w:cstheme="minorHAnsi"/>
                <w:szCs w:val="24"/>
                <w:lang w:val="en-GB" w:eastAsia="ar-SA"/>
              </w:rPr>
              <w:t>feasible to set up a volunteer cadre to call in, where companies express an interest</w:t>
            </w:r>
            <w:r w:rsidR="005B5891">
              <w:rPr>
                <w:rFonts w:asciiTheme="minorHAnsi" w:eastAsia="Calibri" w:hAnsiTheme="minorHAnsi" w:cstheme="minorHAnsi"/>
                <w:szCs w:val="24"/>
                <w:lang w:val="en-GB" w:eastAsia="ar-SA"/>
              </w:rPr>
              <w:t xml:space="preserve"> </w:t>
            </w:r>
            <w:r w:rsidRPr="00A02374">
              <w:rPr>
                <w:rFonts w:asciiTheme="minorHAnsi" w:eastAsia="Calibri" w:hAnsiTheme="minorHAnsi" w:cstheme="minorHAnsi"/>
                <w:szCs w:val="24"/>
                <w:lang w:val="en-GB" w:eastAsia="ar-SA"/>
              </w:rPr>
              <w:t>in using such resources.</w:t>
            </w:r>
          </w:p>
          <w:p w14:paraId="66BDB62F" w14:textId="77777777" w:rsidR="00E97604" w:rsidRPr="00A02374" w:rsidRDefault="00E97604" w:rsidP="00E97604">
            <w:pPr>
              <w:ind w:left="567"/>
              <w:rPr>
                <w:rFonts w:asciiTheme="minorHAnsi" w:hAnsiTheme="minorHAnsi" w:cstheme="minorHAnsi"/>
                <w:szCs w:val="24"/>
                <w:lang w:val="en-GB"/>
              </w:rPr>
            </w:pPr>
          </w:p>
          <w:p w14:paraId="3E78FC42" w14:textId="77777777" w:rsidR="00E97604" w:rsidRPr="00A02374" w:rsidRDefault="00E97604" w:rsidP="00E97604">
            <w:pPr>
              <w:ind w:left="567"/>
              <w:rPr>
                <w:rFonts w:asciiTheme="minorHAnsi" w:hAnsiTheme="minorHAnsi" w:cstheme="minorHAnsi"/>
                <w:szCs w:val="24"/>
                <w:lang w:val="en-GB"/>
              </w:rPr>
            </w:pPr>
            <w:r w:rsidRPr="00A02374">
              <w:rPr>
                <w:rFonts w:asciiTheme="minorHAnsi" w:hAnsiTheme="minorHAnsi" w:cstheme="minorHAnsi"/>
                <w:b/>
                <w:bCs/>
                <w:szCs w:val="24"/>
                <w:lang w:val="en-GB"/>
              </w:rPr>
              <w:t>Resolution 3 2023</w:t>
            </w:r>
          </w:p>
          <w:p w14:paraId="427257C1" w14:textId="77777777" w:rsidR="00E97604" w:rsidRPr="00A02374" w:rsidRDefault="00E97604" w:rsidP="00E97604">
            <w:pPr>
              <w:ind w:left="567"/>
              <w:rPr>
                <w:rFonts w:asciiTheme="minorHAnsi" w:hAnsiTheme="minorHAnsi" w:cstheme="minorHAnsi"/>
                <w:szCs w:val="24"/>
                <w:lang w:val="en-GB"/>
              </w:rPr>
            </w:pPr>
            <w:r w:rsidRPr="00A02374">
              <w:rPr>
                <w:rFonts w:asciiTheme="minorHAnsi" w:hAnsiTheme="minorHAnsi" w:cstheme="minorHAnsi"/>
                <w:szCs w:val="24"/>
                <w:lang w:val="en-GB"/>
              </w:rPr>
              <w:t>Conference notes that over many years the RMG has given verbal support to Prospect's working members when needed.  Conference formally supports those working members during the cost-of-living crisis particularly as their incomes have fallen behind price rises for over a decade.  A below-inflation pay increase in 2023 will not only worsen wage poverty but result in poverty in retirement.  In addition, public-sector job cuts will adversely impact services which are important to us all.</w:t>
            </w:r>
          </w:p>
          <w:p w14:paraId="379D508B" w14:textId="77777777" w:rsidR="00E97604" w:rsidRPr="00A02374" w:rsidRDefault="00E97604" w:rsidP="00E97604">
            <w:pPr>
              <w:ind w:left="567"/>
              <w:rPr>
                <w:rFonts w:asciiTheme="minorHAnsi" w:hAnsiTheme="minorHAnsi" w:cstheme="minorHAnsi"/>
                <w:szCs w:val="24"/>
                <w:lang w:val="en-GB"/>
              </w:rPr>
            </w:pPr>
            <w:r w:rsidRPr="00A02374">
              <w:rPr>
                <w:rFonts w:asciiTheme="minorHAnsi" w:hAnsiTheme="minorHAnsi" w:cstheme="minorHAnsi"/>
                <w:szCs w:val="24"/>
                <w:lang w:val="en-GB"/>
              </w:rPr>
              <w:t>Conference instructs the National Committee to ask the Public Services Executive Committee to formally accept RMG's offer of support for the working members of Prospect.</w:t>
            </w:r>
          </w:p>
          <w:p w14:paraId="37DB99B1" w14:textId="77777777" w:rsidR="009B1067" w:rsidRDefault="009B1067" w:rsidP="009B1067">
            <w:pPr>
              <w:tabs>
                <w:tab w:val="left" w:pos="4968"/>
              </w:tabs>
              <w:spacing w:line="280" w:lineRule="exact"/>
              <w:rPr>
                <w:rFonts w:ascii="Calibri" w:hAnsi="Calibri"/>
                <w:b/>
                <w:szCs w:val="24"/>
                <w:lang w:val="en-GB"/>
              </w:rPr>
            </w:pPr>
          </w:p>
          <w:p w14:paraId="1D787E59" w14:textId="31AF6CFC" w:rsidR="00CF5D14" w:rsidRPr="00DC1C9C" w:rsidRDefault="009B1067" w:rsidP="00DC1C9C">
            <w:pPr>
              <w:tabs>
                <w:tab w:val="left" w:pos="4968"/>
              </w:tabs>
              <w:spacing w:line="280" w:lineRule="exact"/>
              <w:rPr>
                <w:rFonts w:asciiTheme="minorHAnsi" w:eastAsia="Times New Roman" w:hAnsiTheme="minorHAnsi" w:cstheme="minorHAnsi"/>
                <w:color w:val="FF0000"/>
              </w:rPr>
            </w:pPr>
            <w:r>
              <w:rPr>
                <w:rFonts w:ascii="Calibri" w:hAnsi="Calibri"/>
                <w:b/>
                <w:szCs w:val="24"/>
                <w:lang w:val="en-GB"/>
              </w:rPr>
              <w:t>Action</w:t>
            </w:r>
            <w:r>
              <w:rPr>
                <w:rFonts w:ascii="Calibri" w:hAnsi="Calibri"/>
                <w:bCs/>
                <w:szCs w:val="24"/>
                <w:lang w:val="en-GB"/>
              </w:rPr>
              <w:t xml:space="preserve">: </w:t>
            </w:r>
            <w:r w:rsidR="00CF5D14" w:rsidRPr="00DC1C9C">
              <w:rPr>
                <w:rFonts w:asciiTheme="minorHAnsi" w:eastAsia="Times New Roman" w:hAnsiTheme="minorHAnsi" w:cstheme="minorHAnsi"/>
              </w:rPr>
              <w:t xml:space="preserve">The NC doubted whether more could be done on the two 2017 resolutions.  Nevertheless, it </w:t>
            </w:r>
            <w:proofErr w:type="gramStart"/>
            <w:r w:rsidR="00CF5D14" w:rsidRPr="00DC1C9C">
              <w:rPr>
                <w:rFonts w:asciiTheme="minorHAnsi" w:eastAsia="Times New Roman" w:hAnsiTheme="minorHAnsi" w:cstheme="minorHAnsi"/>
              </w:rPr>
              <w:t>referred</w:t>
            </w:r>
            <w:proofErr w:type="gramEnd"/>
            <w:r w:rsidR="00CF5D14" w:rsidRPr="00DC1C9C">
              <w:rPr>
                <w:rFonts w:asciiTheme="minorHAnsi" w:eastAsia="Times New Roman" w:hAnsiTheme="minorHAnsi" w:cstheme="minorHAnsi"/>
              </w:rPr>
              <w:t xml:space="preserve"> R2017.34 back to the proposing Area, Avon Valley, for any suggestions it might have.  R2017.35 was considered unrealistic</w:t>
            </w:r>
            <w:r w:rsidR="0061528F" w:rsidRPr="00DC1C9C">
              <w:rPr>
                <w:rFonts w:asciiTheme="minorHAnsi" w:eastAsia="Times New Roman" w:hAnsiTheme="minorHAnsi" w:cstheme="minorHAnsi"/>
              </w:rPr>
              <w:t>,</w:t>
            </w:r>
            <w:r w:rsidR="00CF5D14" w:rsidRPr="00DC1C9C">
              <w:rPr>
                <w:rFonts w:asciiTheme="minorHAnsi" w:eastAsia="Times New Roman" w:hAnsiTheme="minorHAnsi" w:cstheme="minorHAnsi"/>
              </w:rPr>
              <w:t xml:space="preserve"> especially given Retired Members</w:t>
            </w:r>
            <w:r w:rsidR="0061528F" w:rsidRPr="00DC1C9C">
              <w:rPr>
                <w:rFonts w:asciiTheme="minorHAnsi" w:eastAsia="Times New Roman" w:hAnsiTheme="minorHAnsi" w:cstheme="minorHAnsi"/>
              </w:rPr>
              <w:t>’</w:t>
            </w:r>
            <w:r w:rsidR="00CF5D14" w:rsidRPr="00DC1C9C">
              <w:rPr>
                <w:rFonts w:asciiTheme="minorHAnsi" w:eastAsia="Times New Roman" w:hAnsiTheme="minorHAnsi" w:cstheme="minorHAnsi"/>
              </w:rPr>
              <w:t xml:space="preserve"> knowledge being out of date.  (In addition, the proposing Area, East Midlands, no longer exist</w:t>
            </w:r>
            <w:r w:rsidR="0061528F" w:rsidRPr="00DC1C9C">
              <w:rPr>
                <w:rFonts w:asciiTheme="minorHAnsi" w:eastAsia="Times New Roman" w:hAnsiTheme="minorHAnsi" w:cstheme="minorHAnsi"/>
              </w:rPr>
              <w:t>s</w:t>
            </w:r>
            <w:r w:rsidR="00CF5D14" w:rsidRPr="00DC1C9C">
              <w:rPr>
                <w:rFonts w:asciiTheme="minorHAnsi" w:eastAsia="Times New Roman" w:hAnsiTheme="minorHAnsi" w:cstheme="minorHAnsi"/>
              </w:rPr>
              <w:t>.)  Given that</w:t>
            </w:r>
            <w:r w:rsidR="0061528F" w:rsidRPr="00DC1C9C">
              <w:rPr>
                <w:rFonts w:asciiTheme="minorHAnsi" w:eastAsia="Times New Roman" w:hAnsiTheme="minorHAnsi" w:cstheme="minorHAnsi"/>
              </w:rPr>
              <w:t xml:space="preserve"> in 2023</w:t>
            </w:r>
            <w:r w:rsidR="00CF5D14" w:rsidRPr="00DC1C9C">
              <w:rPr>
                <w:rFonts w:asciiTheme="minorHAnsi" w:eastAsia="Times New Roman" w:hAnsiTheme="minorHAnsi" w:cstheme="minorHAnsi"/>
              </w:rPr>
              <w:t xml:space="preserve"> the PSSEC accepted the offer arising from R2023.3, the NC decided to remind the PSSEC of the offer and the positive response given.</w:t>
            </w:r>
          </w:p>
        </w:tc>
        <w:tc>
          <w:tcPr>
            <w:tcW w:w="1418" w:type="dxa"/>
            <w:tcMar>
              <w:left w:w="85" w:type="dxa"/>
              <w:right w:w="85" w:type="dxa"/>
            </w:tcMar>
          </w:tcPr>
          <w:p w14:paraId="3293DF65" w14:textId="04318D3A" w:rsidR="004A44C4" w:rsidRPr="00A02374" w:rsidRDefault="008044C6">
            <w:pPr>
              <w:spacing w:line="280" w:lineRule="exact"/>
              <w:jc w:val="center"/>
              <w:rPr>
                <w:rFonts w:ascii="Calibri" w:hAnsi="Calibri"/>
                <w:b/>
                <w:szCs w:val="24"/>
                <w:lang w:val="en-GB"/>
              </w:rPr>
            </w:pPr>
            <w:r>
              <w:rPr>
                <w:rFonts w:ascii="Calibri" w:hAnsi="Calibri"/>
                <w:b/>
                <w:szCs w:val="24"/>
                <w:lang w:val="en-GB"/>
              </w:rPr>
              <w:t>Carried</w:t>
            </w:r>
          </w:p>
        </w:tc>
      </w:tr>
      <w:tr w:rsidR="004A44C4" w:rsidRPr="00A02374" w14:paraId="0E984110" w14:textId="77777777" w:rsidTr="00FE58D6">
        <w:tc>
          <w:tcPr>
            <w:tcW w:w="1305" w:type="dxa"/>
            <w:tcMar>
              <w:left w:w="85" w:type="dxa"/>
              <w:right w:w="85" w:type="dxa"/>
            </w:tcMar>
          </w:tcPr>
          <w:p w14:paraId="582F1676" w14:textId="77777777" w:rsidR="004A44C4" w:rsidRPr="00A02374" w:rsidRDefault="004A44C4">
            <w:pPr>
              <w:keepNext/>
              <w:spacing w:line="280" w:lineRule="exact"/>
              <w:jc w:val="center"/>
              <w:rPr>
                <w:rFonts w:asciiTheme="minorHAnsi" w:hAnsiTheme="minorHAnsi" w:cstheme="minorHAnsi"/>
                <w:b/>
                <w:szCs w:val="24"/>
                <w:lang w:val="en-GB"/>
              </w:rPr>
            </w:pPr>
            <w:r w:rsidRPr="00A02374">
              <w:rPr>
                <w:rFonts w:asciiTheme="minorHAnsi" w:hAnsiTheme="minorHAnsi" w:cstheme="minorHAnsi"/>
                <w:b/>
                <w:szCs w:val="24"/>
                <w:lang w:val="en-GB"/>
              </w:rPr>
              <w:t>Section G:</w:t>
            </w:r>
          </w:p>
        </w:tc>
        <w:tc>
          <w:tcPr>
            <w:tcW w:w="6946" w:type="dxa"/>
            <w:tcMar>
              <w:left w:w="85" w:type="dxa"/>
              <w:right w:w="85" w:type="dxa"/>
            </w:tcMar>
          </w:tcPr>
          <w:p w14:paraId="217D97CB" w14:textId="3A1B02AC" w:rsidR="004A44C4" w:rsidRPr="00A02374" w:rsidRDefault="005A4252">
            <w:pPr>
              <w:keepNext/>
              <w:widowControl/>
              <w:rPr>
                <w:rFonts w:ascii="Calibri" w:eastAsia="Calibri" w:hAnsi="Calibri"/>
                <w:b/>
                <w:kern w:val="0"/>
                <w:szCs w:val="24"/>
                <w:lang w:val="en-GB" w:eastAsia="en-US"/>
              </w:rPr>
            </w:pPr>
            <w:r w:rsidRPr="00A02374">
              <w:rPr>
                <w:rFonts w:asciiTheme="minorHAnsi" w:hAnsiTheme="minorHAnsi" w:cstheme="minorHAnsi"/>
                <w:b/>
                <w:bCs/>
                <w:szCs w:val="24"/>
                <w:lang w:val="en-GB"/>
              </w:rPr>
              <w:t>Finance</w:t>
            </w:r>
          </w:p>
        </w:tc>
        <w:tc>
          <w:tcPr>
            <w:tcW w:w="1418" w:type="dxa"/>
            <w:tcMar>
              <w:left w:w="85" w:type="dxa"/>
              <w:right w:w="85" w:type="dxa"/>
            </w:tcMar>
          </w:tcPr>
          <w:p w14:paraId="6A3501F0" w14:textId="77777777" w:rsidR="004A44C4" w:rsidRPr="00A02374" w:rsidRDefault="004A44C4">
            <w:pPr>
              <w:keepNext/>
              <w:spacing w:line="280" w:lineRule="exact"/>
              <w:jc w:val="center"/>
              <w:rPr>
                <w:rFonts w:ascii="Calibri" w:hAnsi="Calibri"/>
                <w:b/>
                <w:szCs w:val="24"/>
                <w:lang w:val="en-GB"/>
              </w:rPr>
            </w:pPr>
          </w:p>
        </w:tc>
      </w:tr>
      <w:tr w:rsidR="004A44C4" w:rsidRPr="00A02374" w14:paraId="322D1297" w14:textId="77777777" w:rsidTr="00FE58D6">
        <w:tc>
          <w:tcPr>
            <w:tcW w:w="1305" w:type="dxa"/>
            <w:tcMar>
              <w:left w:w="85" w:type="dxa"/>
              <w:right w:w="85" w:type="dxa"/>
            </w:tcMar>
          </w:tcPr>
          <w:p w14:paraId="0204B35F" w14:textId="3E7F3721" w:rsidR="004A44C4" w:rsidRPr="00A02374" w:rsidRDefault="004A44C4">
            <w:pPr>
              <w:spacing w:line="280" w:lineRule="exact"/>
              <w:jc w:val="center"/>
              <w:rPr>
                <w:rFonts w:asciiTheme="minorHAnsi" w:hAnsiTheme="minorHAnsi" w:cstheme="minorHAnsi"/>
                <w:b/>
                <w:szCs w:val="24"/>
                <w:lang w:val="en-GB"/>
              </w:rPr>
            </w:pPr>
            <w:r w:rsidRPr="00A02374">
              <w:rPr>
                <w:rFonts w:asciiTheme="minorHAnsi" w:hAnsiTheme="minorHAnsi" w:cstheme="minorHAnsi"/>
                <w:b/>
                <w:szCs w:val="24"/>
                <w:lang w:val="en-GB"/>
              </w:rPr>
              <w:t>1</w:t>
            </w:r>
            <w:r w:rsidR="005A4252" w:rsidRPr="00A02374">
              <w:rPr>
                <w:rFonts w:asciiTheme="minorHAnsi" w:hAnsiTheme="minorHAnsi" w:cstheme="minorHAnsi"/>
                <w:b/>
                <w:szCs w:val="24"/>
                <w:lang w:val="en-GB"/>
              </w:rPr>
              <w:t>6</w:t>
            </w:r>
          </w:p>
        </w:tc>
        <w:tc>
          <w:tcPr>
            <w:tcW w:w="6946" w:type="dxa"/>
            <w:tcMar>
              <w:left w:w="85" w:type="dxa"/>
              <w:right w:w="85" w:type="dxa"/>
            </w:tcMar>
          </w:tcPr>
          <w:p w14:paraId="4FB482C5" w14:textId="77777777" w:rsidR="00E97604" w:rsidRPr="00A02374" w:rsidRDefault="00E97604" w:rsidP="00E97604">
            <w:pPr>
              <w:rPr>
                <w:rFonts w:asciiTheme="minorHAnsi" w:hAnsiTheme="minorHAnsi" w:cstheme="minorHAnsi"/>
                <w:szCs w:val="24"/>
                <w:lang w:val="en-GB"/>
              </w:rPr>
            </w:pPr>
            <w:r w:rsidRPr="00A02374">
              <w:rPr>
                <w:rFonts w:asciiTheme="minorHAnsi" w:hAnsiTheme="minorHAnsi" w:cstheme="minorHAnsi"/>
                <w:szCs w:val="24"/>
                <w:lang w:val="en-GB"/>
              </w:rPr>
              <w:t>Frozen tax thresholds are a tax increase for many people. It is ridiculous to give a pension increase with one hand and then to take it back by failing to increase the tax thresholds. Governments should be honest and admit they are increasing the tax burden on the bottom end of society, particularly pensioners and others dependent on benefits, by this underhanded action.</w:t>
            </w:r>
          </w:p>
          <w:p w14:paraId="5B0996EE" w14:textId="77777777" w:rsidR="00E97604" w:rsidRPr="00A02374" w:rsidRDefault="00E97604" w:rsidP="00E97604">
            <w:pPr>
              <w:rPr>
                <w:rFonts w:asciiTheme="minorHAnsi" w:hAnsiTheme="minorHAnsi" w:cstheme="minorHAnsi"/>
                <w:szCs w:val="24"/>
                <w:lang w:val="en-GB"/>
              </w:rPr>
            </w:pPr>
          </w:p>
          <w:p w14:paraId="19F020B9" w14:textId="77777777" w:rsidR="00E97604" w:rsidRPr="00A02374" w:rsidRDefault="00E97604" w:rsidP="00E97604">
            <w:pPr>
              <w:rPr>
                <w:rFonts w:asciiTheme="minorHAnsi" w:hAnsiTheme="minorHAnsi" w:cstheme="minorHAnsi"/>
                <w:szCs w:val="24"/>
                <w:lang w:val="en-GB"/>
              </w:rPr>
            </w:pPr>
            <w:r w:rsidRPr="00A02374">
              <w:rPr>
                <w:rFonts w:asciiTheme="minorHAnsi" w:hAnsiTheme="minorHAnsi" w:cstheme="minorHAnsi"/>
                <w:szCs w:val="24"/>
                <w:lang w:val="en-GB"/>
              </w:rPr>
              <w:t xml:space="preserve">This conference instructs the National Committee to work with the NEC to campaign for the introduction of an annual review of the tax bands which, as a minimum, </w:t>
            </w:r>
            <w:proofErr w:type="gramStart"/>
            <w:r w:rsidRPr="00A02374">
              <w:rPr>
                <w:rFonts w:asciiTheme="minorHAnsi" w:hAnsiTheme="minorHAnsi" w:cstheme="minorHAnsi"/>
                <w:szCs w:val="24"/>
                <w:lang w:val="en-GB"/>
              </w:rPr>
              <w:t>takes into account</w:t>
            </w:r>
            <w:proofErr w:type="gramEnd"/>
            <w:r w:rsidRPr="00A02374">
              <w:rPr>
                <w:rFonts w:asciiTheme="minorHAnsi" w:hAnsiTheme="minorHAnsi" w:cstheme="minorHAnsi"/>
                <w:szCs w:val="24"/>
                <w:lang w:val="en-GB"/>
              </w:rPr>
              <w:t xml:space="preserve"> the current inflationary pressures.</w:t>
            </w:r>
          </w:p>
          <w:p w14:paraId="17B4EF59" w14:textId="77777777" w:rsidR="004A44C4" w:rsidRDefault="004A44C4">
            <w:pPr>
              <w:widowControl/>
              <w:rPr>
                <w:rFonts w:ascii="Calibri" w:eastAsia="Calibri" w:hAnsi="Calibri"/>
                <w:bCs/>
                <w:kern w:val="0"/>
                <w:szCs w:val="24"/>
                <w:lang w:val="en-GB" w:eastAsia="en-US"/>
              </w:rPr>
            </w:pPr>
          </w:p>
          <w:p w14:paraId="28079813" w14:textId="4FC051B4" w:rsidR="009652E6" w:rsidRPr="00A02374" w:rsidRDefault="009652E6">
            <w:pPr>
              <w:widowControl/>
              <w:rPr>
                <w:rFonts w:ascii="Calibri" w:eastAsia="Calibri" w:hAnsi="Calibri"/>
                <w:bCs/>
                <w:kern w:val="0"/>
                <w:szCs w:val="24"/>
                <w:lang w:val="en-GB" w:eastAsia="en-US"/>
              </w:rPr>
            </w:pPr>
            <w:r w:rsidRPr="00B96D7D">
              <w:rPr>
                <w:rFonts w:ascii="Calibri" w:hAnsi="Calibri"/>
                <w:b/>
                <w:szCs w:val="24"/>
                <w:lang w:val="en-GB"/>
              </w:rPr>
              <w:t>Action</w:t>
            </w:r>
            <w:r>
              <w:rPr>
                <w:rFonts w:ascii="Calibri" w:hAnsi="Calibri"/>
                <w:bCs/>
                <w:szCs w:val="24"/>
                <w:lang w:val="en-GB"/>
              </w:rPr>
              <w:t>: Motion passed on to the NEC</w:t>
            </w:r>
            <w:r w:rsidR="00DC1C9C">
              <w:rPr>
                <w:rFonts w:ascii="Calibri" w:hAnsi="Calibri"/>
                <w:bCs/>
                <w:szCs w:val="24"/>
                <w:lang w:val="en-GB"/>
              </w:rPr>
              <w:t>.</w:t>
            </w:r>
            <w:r w:rsidR="00A17383">
              <w:rPr>
                <w:rFonts w:ascii="Calibri" w:hAnsi="Calibri"/>
                <w:bCs/>
                <w:szCs w:val="24"/>
                <w:lang w:val="en-GB"/>
              </w:rPr>
              <w:t xml:space="preserve">  (A note reminded the NEC that the action sought would also benefit Working Members.)</w:t>
            </w:r>
          </w:p>
        </w:tc>
        <w:tc>
          <w:tcPr>
            <w:tcW w:w="1418" w:type="dxa"/>
            <w:tcMar>
              <w:left w:w="85" w:type="dxa"/>
              <w:right w:w="85" w:type="dxa"/>
            </w:tcMar>
          </w:tcPr>
          <w:p w14:paraId="4661D4CA" w14:textId="5EA7C096" w:rsidR="004A44C4" w:rsidRPr="00A02374" w:rsidRDefault="008044C6">
            <w:pPr>
              <w:spacing w:line="280" w:lineRule="exact"/>
              <w:jc w:val="center"/>
              <w:rPr>
                <w:rFonts w:ascii="Calibri" w:hAnsi="Calibri"/>
                <w:b/>
                <w:szCs w:val="24"/>
                <w:lang w:val="en-GB"/>
              </w:rPr>
            </w:pPr>
            <w:r>
              <w:rPr>
                <w:rFonts w:ascii="Calibri" w:hAnsi="Calibri"/>
                <w:b/>
                <w:szCs w:val="24"/>
                <w:lang w:val="en-GB"/>
              </w:rPr>
              <w:t>Carried</w:t>
            </w:r>
          </w:p>
        </w:tc>
      </w:tr>
      <w:tr w:rsidR="004A44C4" w:rsidRPr="00A02374" w14:paraId="1AB40C5C" w14:textId="77777777" w:rsidTr="00FE58D6">
        <w:tc>
          <w:tcPr>
            <w:tcW w:w="1305" w:type="dxa"/>
            <w:tcBorders>
              <w:bottom w:val="single" w:sz="4" w:space="0" w:color="auto"/>
            </w:tcBorders>
            <w:tcMar>
              <w:left w:w="85" w:type="dxa"/>
              <w:right w:w="85" w:type="dxa"/>
            </w:tcMar>
          </w:tcPr>
          <w:p w14:paraId="062EF018" w14:textId="1D114FDE" w:rsidR="004A44C4" w:rsidRPr="00A02374" w:rsidRDefault="004A44C4">
            <w:pPr>
              <w:spacing w:line="280" w:lineRule="exact"/>
              <w:jc w:val="center"/>
              <w:rPr>
                <w:rFonts w:asciiTheme="minorHAnsi" w:hAnsiTheme="minorHAnsi" w:cstheme="minorHAnsi"/>
                <w:b/>
                <w:szCs w:val="24"/>
                <w:lang w:val="en-GB"/>
              </w:rPr>
            </w:pPr>
            <w:r w:rsidRPr="00A02374">
              <w:rPr>
                <w:rFonts w:asciiTheme="minorHAnsi" w:hAnsiTheme="minorHAnsi" w:cstheme="minorHAnsi"/>
                <w:b/>
                <w:szCs w:val="24"/>
                <w:lang w:val="en-GB"/>
              </w:rPr>
              <w:t>1</w:t>
            </w:r>
            <w:r w:rsidR="005A4252" w:rsidRPr="00A02374">
              <w:rPr>
                <w:rFonts w:asciiTheme="minorHAnsi" w:hAnsiTheme="minorHAnsi" w:cstheme="minorHAnsi"/>
                <w:b/>
                <w:szCs w:val="24"/>
                <w:lang w:val="en-GB"/>
              </w:rPr>
              <w:t>7</w:t>
            </w:r>
          </w:p>
        </w:tc>
        <w:tc>
          <w:tcPr>
            <w:tcW w:w="6946" w:type="dxa"/>
            <w:tcMar>
              <w:left w:w="85" w:type="dxa"/>
              <w:right w:w="85" w:type="dxa"/>
            </w:tcMar>
          </w:tcPr>
          <w:p w14:paraId="0968BA61" w14:textId="77777777" w:rsidR="00E97604" w:rsidRPr="00A02374" w:rsidRDefault="00E97604" w:rsidP="00E97604">
            <w:pPr>
              <w:rPr>
                <w:rFonts w:asciiTheme="minorHAnsi" w:hAnsiTheme="minorHAnsi" w:cstheme="minorHAnsi"/>
                <w:szCs w:val="24"/>
                <w:lang w:val="en-GB"/>
              </w:rPr>
            </w:pPr>
            <w:r w:rsidRPr="00A02374">
              <w:rPr>
                <w:rFonts w:asciiTheme="minorHAnsi" w:hAnsiTheme="minorHAnsi" w:cstheme="minorHAnsi"/>
                <w:szCs w:val="24"/>
                <w:lang w:val="en-GB"/>
              </w:rPr>
              <w:t xml:space="preserve">Many pensioners utilise Cash Only </w:t>
            </w:r>
            <w:proofErr w:type="gramStart"/>
            <w:r w:rsidRPr="00A02374">
              <w:rPr>
                <w:rFonts w:asciiTheme="minorHAnsi" w:hAnsiTheme="minorHAnsi" w:cstheme="minorHAnsi"/>
                <w:szCs w:val="24"/>
                <w:lang w:val="en-GB"/>
              </w:rPr>
              <w:t>ISA’s</w:t>
            </w:r>
            <w:proofErr w:type="gramEnd"/>
            <w:r w:rsidRPr="00A02374">
              <w:rPr>
                <w:rFonts w:asciiTheme="minorHAnsi" w:hAnsiTheme="minorHAnsi" w:cstheme="minorHAnsi"/>
                <w:szCs w:val="24"/>
                <w:lang w:val="en-GB"/>
              </w:rPr>
              <w:t xml:space="preserve"> as the safest </w:t>
            </w:r>
            <w:proofErr w:type="gramStart"/>
            <w:r w:rsidRPr="00A02374">
              <w:rPr>
                <w:rFonts w:asciiTheme="minorHAnsi" w:hAnsiTheme="minorHAnsi" w:cstheme="minorHAnsi"/>
                <w:szCs w:val="24"/>
                <w:lang w:val="en-GB"/>
              </w:rPr>
              <w:t>tax free</w:t>
            </w:r>
            <w:proofErr w:type="gramEnd"/>
            <w:r w:rsidRPr="00A02374">
              <w:rPr>
                <w:rFonts w:asciiTheme="minorHAnsi" w:hAnsiTheme="minorHAnsi" w:cstheme="minorHAnsi"/>
                <w:szCs w:val="24"/>
                <w:lang w:val="en-GB"/>
              </w:rPr>
              <w:t xml:space="preserve"> means of managing their savings. Stocks and Shares </w:t>
            </w:r>
            <w:proofErr w:type="gramStart"/>
            <w:r w:rsidRPr="00A02374">
              <w:rPr>
                <w:rFonts w:asciiTheme="minorHAnsi" w:hAnsiTheme="minorHAnsi" w:cstheme="minorHAnsi"/>
                <w:szCs w:val="24"/>
                <w:lang w:val="en-GB"/>
              </w:rPr>
              <w:t>ISA’s</w:t>
            </w:r>
            <w:proofErr w:type="gramEnd"/>
            <w:r w:rsidRPr="00A02374">
              <w:rPr>
                <w:rFonts w:asciiTheme="minorHAnsi" w:hAnsiTheme="minorHAnsi" w:cstheme="minorHAnsi"/>
                <w:szCs w:val="24"/>
                <w:lang w:val="en-GB"/>
              </w:rPr>
              <w:t xml:space="preserve"> are designed as longer term investment vehicles and do not provide the same combination of stability, security and ease of access. In up to the recent budget, there were leaked rumours that Cash Only Isa’s would be scrapped. While the complete removal of Cash </w:t>
            </w:r>
            <w:proofErr w:type="gramStart"/>
            <w:r w:rsidRPr="00A02374">
              <w:rPr>
                <w:rFonts w:asciiTheme="minorHAnsi" w:hAnsiTheme="minorHAnsi" w:cstheme="minorHAnsi"/>
                <w:szCs w:val="24"/>
                <w:lang w:val="en-GB"/>
              </w:rPr>
              <w:t>ISA’s</w:t>
            </w:r>
            <w:proofErr w:type="gramEnd"/>
            <w:r w:rsidRPr="00A02374">
              <w:rPr>
                <w:rFonts w:asciiTheme="minorHAnsi" w:hAnsiTheme="minorHAnsi" w:cstheme="minorHAnsi"/>
                <w:szCs w:val="24"/>
                <w:lang w:val="en-GB"/>
              </w:rPr>
              <w:t xml:space="preserve"> was not forthcoming, the annual cap was significantly reduced. This partial removal potentially opens the door to further attacks in future budgets.</w:t>
            </w:r>
          </w:p>
          <w:p w14:paraId="11C2C9CF" w14:textId="77777777" w:rsidR="00E97604" w:rsidRPr="00A02374" w:rsidRDefault="00E97604" w:rsidP="00E97604">
            <w:pPr>
              <w:rPr>
                <w:rFonts w:asciiTheme="minorHAnsi" w:hAnsiTheme="minorHAnsi" w:cstheme="minorHAnsi"/>
                <w:szCs w:val="24"/>
                <w:lang w:val="en-GB"/>
              </w:rPr>
            </w:pPr>
          </w:p>
          <w:p w14:paraId="78C4CC9F" w14:textId="77777777" w:rsidR="00E97604" w:rsidRPr="00A02374" w:rsidRDefault="00E97604" w:rsidP="00E97604">
            <w:pPr>
              <w:rPr>
                <w:rFonts w:asciiTheme="minorHAnsi" w:hAnsiTheme="minorHAnsi" w:cstheme="minorHAnsi"/>
                <w:szCs w:val="24"/>
                <w:lang w:val="en-GB"/>
              </w:rPr>
            </w:pPr>
            <w:r w:rsidRPr="00A02374">
              <w:rPr>
                <w:rFonts w:asciiTheme="minorHAnsi" w:hAnsiTheme="minorHAnsi" w:cstheme="minorHAnsi"/>
                <w:szCs w:val="24"/>
                <w:lang w:val="en-GB"/>
              </w:rPr>
              <w:t>This motion instructs the NC to work through the NEC to lobby Government for the retention of the pensioner friendly Cash Only ISA accounts.</w:t>
            </w:r>
          </w:p>
          <w:p w14:paraId="7738E693" w14:textId="77777777" w:rsidR="004A44C4" w:rsidRDefault="004A44C4">
            <w:pPr>
              <w:widowControl/>
              <w:rPr>
                <w:rFonts w:ascii="Calibri" w:eastAsia="Calibri" w:hAnsi="Calibri"/>
                <w:bCs/>
                <w:kern w:val="0"/>
                <w:szCs w:val="24"/>
                <w:lang w:val="en-GB" w:eastAsia="en-US"/>
              </w:rPr>
            </w:pPr>
          </w:p>
          <w:p w14:paraId="3B7B0665" w14:textId="68573B99" w:rsidR="009652E6" w:rsidRPr="00A02374" w:rsidRDefault="009652E6">
            <w:pPr>
              <w:widowControl/>
              <w:rPr>
                <w:rFonts w:ascii="Calibri" w:eastAsia="Calibri" w:hAnsi="Calibri"/>
                <w:bCs/>
                <w:kern w:val="0"/>
                <w:szCs w:val="24"/>
                <w:lang w:val="en-GB" w:eastAsia="en-US"/>
              </w:rPr>
            </w:pPr>
            <w:r w:rsidRPr="00B96D7D">
              <w:rPr>
                <w:rFonts w:ascii="Calibri" w:hAnsi="Calibri"/>
                <w:b/>
                <w:szCs w:val="24"/>
                <w:lang w:val="en-GB"/>
              </w:rPr>
              <w:t>Action</w:t>
            </w:r>
            <w:r>
              <w:rPr>
                <w:rFonts w:ascii="Calibri" w:hAnsi="Calibri"/>
                <w:bCs/>
                <w:szCs w:val="24"/>
                <w:lang w:val="en-GB"/>
              </w:rPr>
              <w:t>: Motion passed on to the NE</w:t>
            </w:r>
            <w:r w:rsidR="00DC1C9C">
              <w:rPr>
                <w:rFonts w:ascii="Calibri" w:hAnsi="Calibri"/>
                <w:bCs/>
                <w:szCs w:val="24"/>
                <w:lang w:val="en-GB"/>
              </w:rPr>
              <w:t>C.</w:t>
            </w:r>
            <w:r w:rsidR="00A17383">
              <w:rPr>
                <w:rFonts w:ascii="Calibri" w:hAnsi="Calibri"/>
                <w:bCs/>
                <w:szCs w:val="24"/>
                <w:lang w:val="en-GB"/>
              </w:rPr>
              <w:t xml:space="preserve">  </w:t>
            </w:r>
            <w:r w:rsidR="00A17383" w:rsidRPr="00A17383">
              <w:rPr>
                <w:rFonts w:ascii="Calibri" w:hAnsi="Calibri"/>
                <w:bCs/>
                <w:szCs w:val="24"/>
                <w:lang w:val="en-GB"/>
              </w:rPr>
              <w:t>(</w:t>
            </w:r>
            <w:r w:rsidR="00A17383">
              <w:rPr>
                <w:rFonts w:ascii="Calibri" w:hAnsi="Calibri"/>
                <w:bCs/>
                <w:szCs w:val="24"/>
                <w:lang w:val="en-GB"/>
              </w:rPr>
              <w:t>A note added that given</w:t>
            </w:r>
            <w:r w:rsidR="00A17383" w:rsidRPr="00A17383">
              <w:rPr>
                <w:rFonts w:ascii="Calibri" w:hAnsi="Calibri"/>
                <w:bCs/>
                <w:szCs w:val="24"/>
                <w:lang w:val="en-GB"/>
              </w:rPr>
              <w:t xml:space="preserve"> the Government’s decision to retain the current allowance for pensioners, the NEC is asked to lobby for its permanent retention.)</w:t>
            </w:r>
          </w:p>
        </w:tc>
        <w:tc>
          <w:tcPr>
            <w:tcW w:w="1418" w:type="dxa"/>
            <w:tcMar>
              <w:left w:w="85" w:type="dxa"/>
              <w:right w:w="85" w:type="dxa"/>
            </w:tcMar>
          </w:tcPr>
          <w:p w14:paraId="79B11D0A" w14:textId="6F72721F" w:rsidR="004A44C4" w:rsidRPr="00A02374" w:rsidRDefault="008044C6">
            <w:pPr>
              <w:spacing w:line="280" w:lineRule="exact"/>
              <w:jc w:val="center"/>
              <w:rPr>
                <w:rFonts w:ascii="Calibri" w:hAnsi="Calibri"/>
                <w:b/>
                <w:szCs w:val="24"/>
                <w:lang w:val="en-GB"/>
              </w:rPr>
            </w:pPr>
            <w:r>
              <w:rPr>
                <w:rFonts w:ascii="Calibri" w:hAnsi="Calibri"/>
                <w:b/>
                <w:szCs w:val="24"/>
                <w:lang w:val="en-GB"/>
              </w:rPr>
              <w:t>Carried</w:t>
            </w:r>
          </w:p>
        </w:tc>
      </w:tr>
      <w:tr w:rsidR="004A44C4" w:rsidRPr="00A02374" w14:paraId="6EAB9D41" w14:textId="77777777" w:rsidTr="00FE58D6">
        <w:tc>
          <w:tcPr>
            <w:tcW w:w="1305" w:type="dxa"/>
            <w:tcMar>
              <w:left w:w="85" w:type="dxa"/>
              <w:right w:w="85" w:type="dxa"/>
            </w:tcMar>
          </w:tcPr>
          <w:p w14:paraId="084AE57D" w14:textId="6F09CB34" w:rsidR="004A44C4" w:rsidRPr="00A02374" w:rsidRDefault="005A4252">
            <w:pPr>
              <w:spacing w:line="280" w:lineRule="exact"/>
              <w:jc w:val="center"/>
              <w:rPr>
                <w:rFonts w:asciiTheme="minorHAnsi" w:hAnsiTheme="minorHAnsi" w:cstheme="minorHAnsi"/>
                <w:b/>
                <w:szCs w:val="24"/>
                <w:lang w:val="en-GB"/>
              </w:rPr>
            </w:pPr>
            <w:r w:rsidRPr="00A02374">
              <w:rPr>
                <w:rFonts w:asciiTheme="minorHAnsi" w:hAnsiTheme="minorHAnsi" w:cstheme="minorHAnsi"/>
                <w:b/>
                <w:szCs w:val="24"/>
                <w:lang w:val="en-GB"/>
              </w:rPr>
              <w:t>18</w:t>
            </w:r>
          </w:p>
        </w:tc>
        <w:tc>
          <w:tcPr>
            <w:tcW w:w="6946" w:type="dxa"/>
            <w:tcMar>
              <w:left w:w="85" w:type="dxa"/>
              <w:right w:w="85" w:type="dxa"/>
            </w:tcMar>
            <w:vAlign w:val="center"/>
          </w:tcPr>
          <w:p w14:paraId="63FFA01A" w14:textId="77777777" w:rsidR="00E97604" w:rsidRPr="00A02374" w:rsidRDefault="00E97604" w:rsidP="00E97604">
            <w:pPr>
              <w:rPr>
                <w:rFonts w:asciiTheme="minorHAnsi" w:hAnsiTheme="minorHAnsi" w:cstheme="minorHAnsi"/>
                <w:szCs w:val="24"/>
                <w:lang w:val="en-GB"/>
              </w:rPr>
            </w:pPr>
            <w:r w:rsidRPr="00A02374">
              <w:rPr>
                <w:rFonts w:asciiTheme="minorHAnsi" w:hAnsiTheme="minorHAnsi" w:cstheme="minorHAnsi"/>
                <w:szCs w:val="24"/>
                <w:lang w:val="en-GB"/>
              </w:rPr>
              <w:t>Conference notes that the ongoing closure of bank branches is making life more difficult and inconvenient creating significant hardship and inconvenience for those who either wish, or have, to rely on cash or cheques, and/or who are digitally ‘challenged’ or are digitally excluded.</w:t>
            </w:r>
          </w:p>
          <w:p w14:paraId="60ADF66F" w14:textId="77777777" w:rsidR="00E97604" w:rsidRPr="00A02374" w:rsidRDefault="00E97604" w:rsidP="00E97604">
            <w:pPr>
              <w:rPr>
                <w:rFonts w:asciiTheme="minorHAnsi" w:hAnsiTheme="minorHAnsi" w:cstheme="minorHAnsi"/>
                <w:szCs w:val="24"/>
                <w:lang w:val="en-GB"/>
              </w:rPr>
            </w:pPr>
          </w:p>
          <w:p w14:paraId="0CD3FD3C" w14:textId="77777777" w:rsidR="00E97604" w:rsidRPr="00A02374" w:rsidRDefault="00E97604" w:rsidP="00E97604">
            <w:pPr>
              <w:rPr>
                <w:rFonts w:asciiTheme="minorHAnsi" w:hAnsiTheme="minorHAnsi" w:cstheme="minorHAnsi"/>
                <w:szCs w:val="24"/>
                <w:lang w:val="en-GB"/>
              </w:rPr>
            </w:pPr>
            <w:r w:rsidRPr="00A02374">
              <w:rPr>
                <w:rFonts w:asciiTheme="minorHAnsi" w:hAnsiTheme="minorHAnsi" w:cstheme="minorHAnsi"/>
                <w:szCs w:val="24"/>
                <w:lang w:val="en-GB"/>
              </w:rPr>
              <w:t>Conference further notes that the proposed solution of establishing “banking hubs” in areas without a bank branch has proven to be inadequate. Indeed, in many communities, hubs have failed to materialise at all. Where they do exist, they are frequently difficult to access, operate with restricted hours, and often require advance appointments. Moreover, they rarely provide essential cash or cheque services, instead focusing primarily on selling financial products such as savings, loans, and mortgages.</w:t>
            </w:r>
          </w:p>
          <w:p w14:paraId="3BA69268" w14:textId="77777777" w:rsidR="00E97604" w:rsidRPr="00A02374" w:rsidRDefault="00E97604" w:rsidP="00E97604">
            <w:pPr>
              <w:rPr>
                <w:rFonts w:asciiTheme="minorHAnsi" w:hAnsiTheme="minorHAnsi" w:cstheme="minorHAnsi"/>
                <w:szCs w:val="24"/>
                <w:lang w:val="en-GB"/>
              </w:rPr>
            </w:pPr>
          </w:p>
          <w:p w14:paraId="004B6EAF" w14:textId="77777777" w:rsidR="00E97604" w:rsidRPr="00A02374" w:rsidRDefault="00E97604" w:rsidP="00E97604">
            <w:pPr>
              <w:rPr>
                <w:rFonts w:asciiTheme="minorHAnsi" w:hAnsiTheme="minorHAnsi" w:cstheme="minorHAnsi"/>
                <w:szCs w:val="24"/>
                <w:lang w:val="en-GB"/>
              </w:rPr>
            </w:pPr>
            <w:r w:rsidRPr="00A02374">
              <w:rPr>
                <w:rFonts w:asciiTheme="minorHAnsi" w:hAnsiTheme="minorHAnsi" w:cstheme="minorHAnsi"/>
                <w:szCs w:val="24"/>
                <w:lang w:val="en-GB"/>
              </w:rPr>
              <w:t>Conference therefore instructs the National Committee to campaign, through all appropriate forums, for legislation requiring that every community without a bank branch must be provided with a fully functioning Banking Hub. Such hubs must offer comprehensive cash and cheque services during normal opening hours.</w:t>
            </w:r>
          </w:p>
          <w:p w14:paraId="3F48D0D3" w14:textId="77777777" w:rsidR="004A44C4" w:rsidRDefault="004A44C4">
            <w:pPr>
              <w:spacing w:line="280" w:lineRule="exact"/>
              <w:rPr>
                <w:rFonts w:ascii="Calibri" w:hAnsi="Calibri"/>
                <w:b/>
                <w:szCs w:val="24"/>
                <w:lang w:val="en-GB"/>
              </w:rPr>
            </w:pPr>
          </w:p>
          <w:p w14:paraId="2C522D19" w14:textId="34195DCF" w:rsidR="00A30398" w:rsidRPr="00A30398" w:rsidRDefault="00A30398">
            <w:pPr>
              <w:spacing w:line="280" w:lineRule="exact"/>
              <w:rPr>
                <w:rFonts w:ascii="Calibri" w:hAnsi="Calibri" w:cs="Calibri"/>
                <w:bCs/>
                <w:szCs w:val="24"/>
                <w:lang w:val="en-GB"/>
              </w:rPr>
            </w:pPr>
            <w:r w:rsidRPr="00A30398">
              <w:rPr>
                <w:rFonts w:ascii="Calibri" w:hAnsi="Calibri" w:cs="Calibri"/>
                <w:b/>
                <w:szCs w:val="24"/>
                <w:lang w:val="en-GB"/>
              </w:rPr>
              <w:t>Action</w:t>
            </w:r>
            <w:r w:rsidRPr="00A30398">
              <w:rPr>
                <w:rFonts w:ascii="Calibri" w:hAnsi="Calibri" w:cs="Calibri"/>
                <w:bCs/>
                <w:szCs w:val="24"/>
                <w:lang w:val="en-GB"/>
              </w:rPr>
              <w:t>: One concern of the NC</w:t>
            </w:r>
            <w:r>
              <w:rPr>
                <w:rFonts w:ascii="Calibri" w:hAnsi="Calibri" w:cs="Calibri"/>
                <w:bCs/>
                <w:szCs w:val="24"/>
                <w:lang w:val="en-GB"/>
              </w:rPr>
              <w:t xml:space="preserve"> is that implementation would result in higher bank charges for all</w:t>
            </w:r>
            <w:r w:rsidR="002A69E9">
              <w:rPr>
                <w:rFonts w:ascii="Calibri" w:hAnsi="Calibri" w:cs="Calibri"/>
                <w:bCs/>
                <w:szCs w:val="24"/>
                <w:lang w:val="en-GB"/>
              </w:rPr>
              <w:t xml:space="preserve"> </w:t>
            </w:r>
            <w:r w:rsidR="002A69E9" w:rsidRPr="00DC1C9C">
              <w:rPr>
                <w:rFonts w:ascii="Calibri" w:hAnsi="Calibri" w:cs="Calibri"/>
                <w:bCs/>
                <w:szCs w:val="24"/>
                <w:lang w:val="en-GB"/>
              </w:rPr>
              <w:t>customers, including</w:t>
            </w:r>
            <w:r w:rsidRPr="00DC1C9C">
              <w:rPr>
                <w:rFonts w:ascii="Calibri" w:hAnsi="Calibri" w:cs="Calibri"/>
                <w:bCs/>
                <w:szCs w:val="24"/>
                <w:lang w:val="en-GB"/>
              </w:rPr>
              <w:t xml:space="preserve"> </w:t>
            </w:r>
            <w:r>
              <w:rPr>
                <w:rFonts w:ascii="Calibri" w:hAnsi="Calibri" w:cs="Calibri"/>
                <w:bCs/>
                <w:szCs w:val="24"/>
                <w:lang w:val="en-GB"/>
              </w:rPr>
              <w:t>pensioners.</w:t>
            </w:r>
            <w:r w:rsidR="00071EE9">
              <w:rPr>
                <w:rFonts w:ascii="Calibri" w:hAnsi="Calibri" w:cs="Calibri"/>
                <w:bCs/>
                <w:szCs w:val="24"/>
                <w:lang w:val="en-GB"/>
              </w:rPr>
              <w:t xml:space="preserve">  </w:t>
            </w:r>
            <w:r w:rsidR="002A69E9" w:rsidRPr="00DC1C9C">
              <w:rPr>
                <w:rFonts w:ascii="Calibri" w:hAnsi="Calibri" w:cs="Calibri"/>
                <w:bCs/>
                <w:szCs w:val="24"/>
                <w:lang w:val="en-GB"/>
              </w:rPr>
              <w:t>However, it will explore possible campaigning for adequate banking/Post Office facilities though its involvement in the NPC.</w:t>
            </w:r>
          </w:p>
        </w:tc>
        <w:tc>
          <w:tcPr>
            <w:tcW w:w="1418" w:type="dxa"/>
            <w:tcMar>
              <w:left w:w="85" w:type="dxa"/>
              <w:right w:w="85" w:type="dxa"/>
            </w:tcMar>
          </w:tcPr>
          <w:p w14:paraId="6798DEE3" w14:textId="0F93B0DA" w:rsidR="004A44C4" w:rsidRPr="00A02374" w:rsidRDefault="008044C6">
            <w:pPr>
              <w:spacing w:line="280" w:lineRule="exact"/>
              <w:jc w:val="center"/>
              <w:rPr>
                <w:rFonts w:ascii="Calibri" w:hAnsi="Calibri"/>
                <w:b/>
                <w:szCs w:val="24"/>
                <w:lang w:val="en-GB"/>
              </w:rPr>
            </w:pPr>
            <w:r>
              <w:rPr>
                <w:rFonts w:ascii="Calibri" w:hAnsi="Calibri"/>
                <w:b/>
                <w:szCs w:val="24"/>
                <w:lang w:val="en-GB"/>
              </w:rPr>
              <w:t>Remitted</w:t>
            </w:r>
          </w:p>
        </w:tc>
      </w:tr>
      <w:tr w:rsidR="004A44C4" w:rsidRPr="00A02374" w14:paraId="3E708894" w14:textId="77777777" w:rsidTr="00FE58D6">
        <w:tc>
          <w:tcPr>
            <w:tcW w:w="1305" w:type="dxa"/>
            <w:tcMar>
              <w:left w:w="85" w:type="dxa"/>
              <w:right w:w="85" w:type="dxa"/>
            </w:tcMar>
          </w:tcPr>
          <w:p w14:paraId="5AE6B5FE" w14:textId="77777777" w:rsidR="004A44C4" w:rsidRPr="00A02374" w:rsidRDefault="004A44C4">
            <w:pPr>
              <w:keepNext/>
              <w:spacing w:line="280" w:lineRule="exact"/>
              <w:jc w:val="center"/>
              <w:rPr>
                <w:rFonts w:asciiTheme="minorHAnsi" w:hAnsiTheme="minorHAnsi" w:cstheme="minorHAnsi"/>
                <w:b/>
                <w:szCs w:val="24"/>
                <w:lang w:val="en-GB"/>
              </w:rPr>
            </w:pPr>
            <w:r w:rsidRPr="00A02374">
              <w:rPr>
                <w:rFonts w:asciiTheme="minorHAnsi" w:hAnsiTheme="minorHAnsi" w:cstheme="minorHAnsi"/>
                <w:b/>
                <w:szCs w:val="24"/>
                <w:lang w:val="en-GB"/>
              </w:rPr>
              <w:t>Section H:</w:t>
            </w:r>
          </w:p>
        </w:tc>
        <w:tc>
          <w:tcPr>
            <w:tcW w:w="6946" w:type="dxa"/>
            <w:tcMar>
              <w:left w:w="85" w:type="dxa"/>
              <w:right w:w="85" w:type="dxa"/>
            </w:tcMar>
            <w:vAlign w:val="center"/>
          </w:tcPr>
          <w:p w14:paraId="5FE0C483" w14:textId="6B667EF6" w:rsidR="004A44C4" w:rsidRPr="00A02374" w:rsidRDefault="005A4252">
            <w:pPr>
              <w:keepNext/>
              <w:spacing w:line="280" w:lineRule="exact"/>
              <w:rPr>
                <w:rFonts w:ascii="Calibri" w:eastAsia="Calibri" w:hAnsi="Calibri"/>
                <w:b/>
                <w:bCs/>
                <w:kern w:val="0"/>
                <w:szCs w:val="24"/>
                <w:lang w:val="en-GB" w:eastAsia="en-US"/>
              </w:rPr>
            </w:pPr>
            <w:r w:rsidRPr="00A02374">
              <w:rPr>
                <w:rFonts w:asciiTheme="minorHAnsi" w:hAnsiTheme="minorHAnsi" w:cstheme="minorHAnsi"/>
                <w:b/>
                <w:bCs/>
                <w:szCs w:val="24"/>
                <w:lang w:val="en-GB"/>
              </w:rPr>
              <w:t>Miscellaneous</w:t>
            </w:r>
          </w:p>
        </w:tc>
        <w:tc>
          <w:tcPr>
            <w:tcW w:w="1418" w:type="dxa"/>
            <w:tcMar>
              <w:left w:w="85" w:type="dxa"/>
              <w:right w:w="85" w:type="dxa"/>
            </w:tcMar>
          </w:tcPr>
          <w:p w14:paraId="4CDFBD5D" w14:textId="77777777" w:rsidR="004A44C4" w:rsidRPr="00A02374" w:rsidRDefault="004A44C4">
            <w:pPr>
              <w:keepNext/>
              <w:spacing w:line="280" w:lineRule="exact"/>
              <w:jc w:val="center"/>
              <w:rPr>
                <w:rFonts w:ascii="Calibri" w:hAnsi="Calibri"/>
                <w:b/>
                <w:szCs w:val="24"/>
                <w:lang w:val="en-GB"/>
              </w:rPr>
            </w:pPr>
          </w:p>
        </w:tc>
      </w:tr>
      <w:tr w:rsidR="005A4252" w:rsidRPr="00A02374" w14:paraId="165E0AEC" w14:textId="77777777" w:rsidTr="00FE58D6">
        <w:tc>
          <w:tcPr>
            <w:tcW w:w="1305" w:type="dxa"/>
            <w:tcMar>
              <w:left w:w="85" w:type="dxa"/>
              <w:right w:w="85" w:type="dxa"/>
            </w:tcMar>
          </w:tcPr>
          <w:p w14:paraId="72568460" w14:textId="15342328" w:rsidR="005A4252" w:rsidRPr="00A02374" w:rsidRDefault="005A4252">
            <w:pPr>
              <w:spacing w:line="280" w:lineRule="exact"/>
              <w:jc w:val="center"/>
              <w:rPr>
                <w:rFonts w:asciiTheme="minorHAnsi" w:hAnsiTheme="minorHAnsi" w:cstheme="minorHAnsi"/>
                <w:b/>
                <w:szCs w:val="24"/>
                <w:lang w:val="en-GB"/>
              </w:rPr>
            </w:pPr>
            <w:r w:rsidRPr="00A02374">
              <w:rPr>
                <w:rFonts w:asciiTheme="minorHAnsi" w:hAnsiTheme="minorHAnsi" w:cstheme="minorHAnsi"/>
                <w:b/>
                <w:szCs w:val="24"/>
                <w:lang w:val="en-GB"/>
              </w:rPr>
              <w:t>20</w:t>
            </w:r>
          </w:p>
        </w:tc>
        <w:tc>
          <w:tcPr>
            <w:tcW w:w="6946" w:type="dxa"/>
            <w:tcMar>
              <w:left w:w="85" w:type="dxa"/>
              <w:right w:w="85" w:type="dxa"/>
            </w:tcMar>
            <w:vAlign w:val="center"/>
          </w:tcPr>
          <w:p w14:paraId="1D7D8539" w14:textId="77777777" w:rsidR="002E33B6" w:rsidRPr="00A02374" w:rsidRDefault="002E33B6" w:rsidP="009652E6">
            <w:pPr>
              <w:pStyle w:val="TableContents"/>
              <w:keepNext/>
              <w:spacing w:line="240" w:lineRule="auto"/>
              <w:rPr>
                <w:rFonts w:asciiTheme="minorHAnsi" w:hAnsiTheme="minorHAnsi" w:cstheme="minorHAnsi"/>
                <w:sz w:val="24"/>
                <w:szCs w:val="24"/>
              </w:rPr>
            </w:pPr>
            <w:r w:rsidRPr="00A02374">
              <w:rPr>
                <w:rFonts w:asciiTheme="minorHAnsi" w:hAnsiTheme="minorHAnsi" w:cstheme="minorHAnsi"/>
                <w:color w:val="000000"/>
                <w:sz w:val="24"/>
                <w:szCs w:val="24"/>
              </w:rPr>
              <w:t>RO</w:t>
            </w:r>
            <w:r w:rsidRPr="00A02374">
              <w:rPr>
                <w:rFonts w:asciiTheme="minorHAnsi" w:hAnsiTheme="minorHAnsi" w:cstheme="minorHAnsi"/>
                <w:sz w:val="24"/>
                <w:szCs w:val="24"/>
              </w:rPr>
              <w:t>AD VEHICLE TAXATION</w:t>
            </w:r>
          </w:p>
          <w:p w14:paraId="736CA0F0" w14:textId="77777777" w:rsidR="002E33B6" w:rsidRPr="00A02374" w:rsidRDefault="002E33B6" w:rsidP="002E33B6">
            <w:pPr>
              <w:pStyle w:val="TableContents"/>
              <w:spacing w:line="240" w:lineRule="auto"/>
              <w:rPr>
                <w:rFonts w:asciiTheme="minorHAnsi" w:hAnsiTheme="minorHAnsi" w:cstheme="minorHAnsi"/>
                <w:sz w:val="24"/>
                <w:szCs w:val="24"/>
              </w:rPr>
            </w:pPr>
            <w:r w:rsidRPr="00A02374">
              <w:rPr>
                <w:rFonts w:asciiTheme="minorHAnsi" w:hAnsiTheme="minorHAnsi" w:cstheme="minorHAnsi"/>
                <w:sz w:val="24"/>
                <w:szCs w:val="24"/>
              </w:rPr>
              <w:t>The government is potentially looking to introduce 'Pay per Mile' taxing for road vehicles. This could result in a particularly unfair situation for people who live in rural areas where there is limited public transport and invariably greater distances to be covered to access health care, go shopping or engage in social activities.</w:t>
            </w:r>
          </w:p>
          <w:p w14:paraId="29671119" w14:textId="77777777" w:rsidR="002E33B6" w:rsidRPr="00A02374" w:rsidRDefault="002E33B6" w:rsidP="002E33B6">
            <w:pPr>
              <w:pStyle w:val="TableContents"/>
              <w:spacing w:line="240" w:lineRule="auto"/>
              <w:rPr>
                <w:rFonts w:asciiTheme="minorHAnsi" w:hAnsiTheme="minorHAnsi" w:cstheme="minorHAnsi"/>
                <w:sz w:val="24"/>
                <w:szCs w:val="24"/>
              </w:rPr>
            </w:pPr>
          </w:p>
          <w:p w14:paraId="7207B3EF" w14:textId="77777777" w:rsidR="002E33B6" w:rsidRPr="00A02374" w:rsidRDefault="002E33B6" w:rsidP="002E33B6">
            <w:pPr>
              <w:rPr>
                <w:rFonts w:asciiTheme="minorHAnsi" w:hAnsiTheme="minorHAnsi" w:cstheme="minorHAnsi"/>
                <w:szCs w:val="24"/>
                <w:lang w:val="en-GB"/>
              </w:rPr>
            </w:pPr>
            <w:r w:rsidRPr="00A02374">
              <w:rPr>
                <w:rFonts w:asciiTheme="minorHAnsi" w:hAnsiTheme="minorHAnsi" w:cstheme="minorHAnsi"/>
                <w:szCs w:val="24"/>
                <w:lang w:val="en-GB"/>
              </w:rPr>
              <w:t>This conference instructs the National Committee to request the NEC to lobby for measures to ensure that Retired Members in rural areas are not unfairly disadvantaged should ‘pay per mile’ be taken forward by the government.</w:t>
            </w:r>
          </w:p>
          <w:p w14:paraId="0F912609" w14:textId="77777777" w:rsidR="005A4252" w:rsidRDefault="005A4252">
            <w:pPr>
              <w:spacing w:line="280" w:lineRule="exact"/>
              <w:rPr>
                <w:rFonts w:ascii="Calibri" w:hAnsi="Calibri"/>
                <w:b/>
                <w:szCs w:val="24"/>
                <w:lang w:val="en-GB"/>
              </w:rPr>
            </w:pPr>
          </w:p>
          <w:p w14:paraId="7C21470A" w14:textId="10F8746A" w:rsidR="009652E6" w:rsidRPr="00A02374" w:rsidRDefault="009652E6">
            <w:pPr>
              <w:spacing w:line="280" w:lineRule="exact"/>
              <w:rPr>
                <w:rFonts w:ascii="Calibri" w:hAnsi="Calibri"/>
                <w:b/>
                <w:szCs w:val="24"/>
                <w:lang w:val="en-GB"/>
              </w:rPr>
            </w:pPr>
            <w:r w:rsidRPr="00B96D7D">
              <w:rPr>
                <w:rFonts w:ascii="Calibri" w:hAnsi="Calibri"/>
                <w:b/>
                <w:szCs w:val="24"/>
                <w:lang w:val="en-GB"/>
              </w:rPr>
              <w:t>Action</w:t>
            </w:r>
            <w:r>
              <w:rPr>
                <w:rFonts w:ascii="Calibri" w:hAnsi="Calibri"/>
                <w:bCs/>
                <w:szCs w:val="24"/>
                <w:lang w:val="en-GB"/>
              </w:rPr>
              <w:t>: Motion passed on to the NEC</w:t>
            </w:r>
            <w:r w:rsidR="00DC1C9C">
              <w:rPr>
                <w:rFonts w:ascii="Calibri" w:hAnsi="Calibri"/>
                <w:bCs/>
                <w:szCs w:val="24"/>
                <w:lang w:val="en-GB"/>
              </w:rPr>
              <w:t>.</w:t>
            </w:r>
            <w:r w:rsidR="00A17383">
              <w:t xml:space="preserve">  </w:t>
            </w:r>
            <w:r w:rsidR="00A17383" w:rsidRPr="00A17383">
              <w:rPr>
                <w:rFonts w:ascii="Calibri" w:hAnsi="Calibri"/>
                <w:bCs/>
                <w:szCs w:val="24"/>
                <w:lang w:val="en-GB"/>
              </w:rPr>
              <w:t>(</w:t>
            </w:r>
            <w:r w:rsidR="00A17383">
              <w:rPr>
                <w:rFonts w:ascii="Calibri" w:hAnsi="Calibri"/>
                <w:bCs/>
                <w:szCs w:val="24"/>
                <w:lang w:val="en-GB"/>
              </w:rPr>
              <w:t>A note reminded the</w:t>
            </w:r>
            <w:r w:rsidR="00A17383" w:rsidRPr="00A17383">
              <w:rPr>
                <w:rFonts w:ascii="Calibri" w:hAnsi="Calibri"/>
                <w:bCs/>
                <w:szCs w:val="24"/>
                <w:lang w:val="en-GB"/>
              </w:rPr>
              <w:t xml:space="preserve"> NEC that the assurances sought would also benefit Working Members who use their own vehicles for business travel.)</w:t>
            </w:r>
          </w:p>
        </w:tc>
        <w:tc>
          <w:tcPr>
            <w:tcW w:w="1418" w:type="dxa"/>
            <w:tcMar>
              <w:left w:w="85" w:type="dxa"/>
              <w:right w:w="85" w:type="dxa"/>
            </w:tcMar>
          </w:tcPr>
          <w:p w14:paraId="66ECFEA2" w14:textId="77777777" w:rsidR="005A4252" w:rsidRPr="00A02374" w:rsidRDefault="005A4252">
            <w:pPr>
              <w:spacing w:line="280" w:lineRule="exact"/>
              <w:jc w:val="center"/>
              <w:rPr>
                <w:rFonts w:ascii="Calibri" w:hAnsi="Calibri"/>
                <w:b/>
                <w:szCs w:val="24"/>
                <w:lang w:val="en-GB"/>
              </w:rPr>
            </w:pPr>
            <w:r w:rsidRPr="00A02374">
              <w:rPr>
                <w:rFonts w:ascii="Calibri" w:hAnsi="Calibri"/>
                <w:b/>
                <w:szCs w:val="24"/>
                <w:lang w:val="en-GB"/>
              </w:rPr>
              <w:t>Guillotined</w:t>
            </w:r>
          </w:p>
          <w:p w14:paraId="23AF47B1" w14:textId="65C8B100" w:rsidR="00094EA0" w:rsidRPr="00A02374" w:rsidRDefault="00094EA0">
            <w:pPr>
              <w:spacing w:line="280" w:lineRule="exact"/>
              <w:jc w:val="center"/>
              <w:rPr>
                <w:rFonts w:ascii="Calibri" w:hAnsi="Calibri"/>
                <w:b/>
                <w:szCs w:val="24"/>
                <w:lang w:val="en-GB"/>
              </w:rPr>
            </w:pPr>
            <w:r w:rsidRPr="00A02374">
              <w:rPr>
                <w:rFonts w:ascii="Calibri" w:hAnsi="Calibri"/>
                <w:b/>
                <w:szCs w:val="24"/>
                <w:lang w:val="en-GB"/>
              </w:rPr>
              <w:t>(Remitted)</w:t>
            </w:r>
          </w:p>
        </w:tc>
      </w:tr>
      <w:tr w:rsidR="004A44C4" w:rsidRPr="00A02374" w14:paraId="53FCD5C7" w14:textId="77777777" w:rsidTr="00FE58D6">
        <w:tc>
          <w:tcPr>
            <w:tcW w:w="1305" w:type="dxa"/>
            <w:tcMar>
              <w:left w:w="85" w:type="dxa"/>
              <w:right w:w="85" w:type="dxa"/>
            </w:tcMar>
          </w:tcPr>
          <w:p w14:paraId="0D287350" w14:textId="77777777" w:rsidR="004A44C4" w:rsidRPr="00A02374" w:rsidRDefault="004A44C4">
            <w:pPr>
              <w:widowControl/>
              <w:spacing w:line="280" w:lineRule="exact"/>
              <w:jc w:val="center"/>
              <w:rPr>
                <w:rFonts w:asciiTheme="minorHAnsi" w:hAnsiTheme="minorHAnsi" w:cstheme="minorHAnsi"/>
                <w:b/>
                <w:szCs w:val="24"/>
                <w:lang w:val="en-GB"/>
              </w:rPr>
            </w:pPr>
            <w:r w:rsidRPr="00A02374">
              <w:rPr>
                <w:rFonts w:asciiTheme="minorHAnsi" w:hAnsiTheme="minorHAnsi" w:cstheme="minorHAnsi"/>
                <w:b/>
                <w:szCs w:val="24"/>
                <w:lang w:val="en-GB"/>
              </w:rPr>
              <w:t>EM01</w:t>
            </w:r>
          </w:p>
        </w:tc>
        <w:tc>
          <w:tcPr>
            <w:tcW w:w="6946" w:type="dxa"/>
            <w:tcMar>
              <w:left w:w="85" w:type="dxa"/>
              <w:right w:w="85" w:type="dxa"/>
            </w:tcMar>
            <w:vAlign w:val="center"/>
          </w:tcPr>
          <w:p w14:paraId="55753F80" w14:textId="77777777" w:rsidR="004A44C4" w:rsidRDefault="002E33B6">
            <w:pPr>
              <w:widowControl/>
              <w:rPr>
                <w:rFonts w:asciiTheme="minorHAnsi" w:eastAsia="Calibri" w:hAnsiTheme="minorHAnsi" w:cstheme="minorHAnsi"/>
                <w:kern w:val="0"/>
                <w:szCs w:val="24"/>
                <w:lang w:val="en-GB" w:eastAsia="en-US"/>
              </w:rPr>
            </w:pPr>
            <w:r w:rsidRPr="002E33B6">
              <w:rPr>
                <w:rFonts w:asciiTheme="minorHAnsi" w:eastAsia="Calibri" w:hAnsiTheme="minorHAnsi" w:cstheme="minorHAnsi"/>
                <w:kern w:val="0"/>
                <w:szCs w:val="24"/>
                <w:lang w:val="en-GB" w:eastAsia="en-US"/>
              </w:rPr>
              <w:t>Conference notes the January 2026 confirmation by the London Councils collective that it is planning to carry out a review of the Older Person's Freedom Pass.  Conference notes that the intention is to reduce the expense of the scheme, and that one of the ideas under consideration is limiting free transport for over-66s to buses.  Conference instructs the National Committee - through representations to the NEC and NPC - to pursue protection of concessionary travel for pensioners, not just in London but in any region that decides to follow London Councils' example.</w:t>
            </w:r>
          </w:p>
          <w:p w14:paraId="63723843" w14:textId="77777777" w:rsidR="009652E6" w:rsidRDefault="009652E6">
            <w:pPr>
              <w:widowControl/>
              <w:rPr>
                <w:rFonts w:asciiTheme="minorHAnsi" w:eastAsia="Calibri" w:hAnsiTheme="minorHAnsi" w:cstheme="minorHAnsi"/>
                <w:kern w:val="0"/>
                <w:szCs w:val="24"/>
                <w:lang w:val="en-GB" w:eastAsia="en-US"/>
              </w:rPr>
            </w:pPr>
          </w:p>
          <w:p w14:paraId="45C28675" w14:textId="705B767A" w:rsidR="009652E6" w:rsidRPr="00A02374" w:rsidRDefault="009652E6">
            <w:pPr>
              <w:widowControl/>
              <w:rPr>
                <w:rFonts w:asciiTheme="minorHAnsi" w:eastAsia="Calibri" w:hAnsiTheme="minorHAnsi" w:cstheme="minorHAnsi"/>
                <w:kern w:val="0"/>
                <w:szCs w:val="24"/>
                <w:lang w:val="en-GB" w:eastAsia="en-US"/>
              </w:rPr>
            </w:pPr>
            <w:r w:rsidRPr="00B96D7D">
              <w:rPr>
                <w:rFonts w:ascii="Calibri" w:hAnsi="Calibri"/>
                <w:b/>
                <w:szCs w:val="24"/>
                <w:lang w:val="en-GB"/>
              </w:rPr>
              <w:t>Action</w:t>
            </w:r>
            <w:r>
              <w:rPr>
                <w:rFonts w:ascii="Calibri" w:hAnsi="Calibri"/>
                <w:bCs/>
                <w:szCs w:val="24"/>
                <w:lang w:val="en-GB"/>
              </w:rPr>
              <w:t>: Motion passed on to the NEC</w:t>
            </w:r>
            <w:r w:rsidR="00DC1C9C">
              <w:rPr>
                <w:rFonts w:ascii="Calibri" w:hAnsi="Calibri"/>
                <w:bCs/>
                <w:szCs w:val="24"/>
                <w:lang w:val="en-GB"/>
              </w:rPr>
              <w:t>.</w:t>
            </w:r>
            <w:r w:rsidR="009B1067">
              <w:rPr>
                <w:rFonts w:ascii="Calibri" w:hAnsi="Calibri"/>
                <w:bCs/>
                <w:szCs w:val="24"/>
                <w:lang w:val="en-GB"/>
              </w:rPr>
              <w:t xml:space="preserve">  </w:t>
            </w:r>
            <w:r w:rsidR="00A17383" w:rsidRPr="00A17383">
              <w:rPr>
                <w:rFonts w:ascii="Calibri" w:hAnsi="Calibri"/>
                <w:bCs/>
                <w:szCs w:val="24"/>
              </w:rPr>
              <w:t>(</w:t>
            </w:r>
            <w:r w:rsidR="00A17383">
              <w:rPr>
                <w:rFonts w:ascii="Calibri" w:hAnsi="Calibri"/>
                <w:bCs/>
                <w:szCs w:val="24"/>
              </w:rPr>
              <w:t>A note was added acknowledging that</w:t>
            </w:r>
            <w:r w:rsidR="00A17383" w:rsidRPr="00A17383">
              <w:rPr>
                <w:rFonts w:ascii="Calibri" w:hAnsi="Calibri"/>
                <w:bCs/>
                <w:szCs w:val="24"/>
              </w:rPr>
              <w:t xml:space="preserve"> </w:t>
            </w:r>
            <w:proofErr w:type="spellStart"/>
            <w:r w:rsidR="00A17383" w:rsidRPr="00A17383">
              <w:rPr>
                <w:rFonts w:ascii="Calibri" w:hAnsi="Calibri"/>
                <w:bCs/>
                <w:szCs w:val="24"/>
              </w:rPr>
              <w:t>Labour</w:t>
            </w:r>
            <w:proofErr w:type="spellEnd"/>
            <w:r w:rsidR="00A17383" w:rsidRPr="00A17383">
              <w:rPr>
                <w:rFonts w:ascii="Calibri" w:hAnsi="Calibri"/>
                <w:bCs/>
                <w:szCs w:val="24"/>
              </w:rPr>
              <w:t xml:space="preserve"> council leaders in London have – for the moment –</w:t>
            </w:r>
            <w:r w:rsidR="00A17383">
              <w:rPr>
                <w:rFonts w:ascii="Calibri" w:hAnsi="Calibri"/>
                <w:bCs/>
                <w:szCs w:val="24"/>
              </w:rPr>
              <w:t xml:space="preserve"> </w:t>
            </w:r>
            <w:r w:rsidR="00A17383" w:rsidRPr="00A17383">
              <w:rPr>
                <w:rFonts w:ascii="Calibri" w:hAnsi="Calibri"/>
                <w:bCs/>
                <w:szCs w:val="24"/>
              </w:rPr>
              <w:t xml:space="preserve">blocked the proposed review of the Freedom Pass.  </w:t>
            </w:r>
            <w:r w:rsidR="00A17383">
              <w:rPr>
                <w:rFonts w:ascii="Calibri" w:hAnsi="Calibri"/>
                <w:bCs/>
                <w:szCs w:val="24"/>
              </w:rPr>
              <w:t>As a r</w:t>
            </w:r>
            <w:r w:rsidR="00A60F0F">
              <w:rPr>
                <w:rFonts w:ascii="Calibri" w:hAnsi="Calibri"/>
                <w:bCs/>
                <w:szCs w:val="24"/>
              </w:rPr>
              <w:t>esult,</w:t>
            </w:r>
            <w:r w:rsidR="00A17383">
              <w:rPr>
                <w:rFonts w:ascii="Calibri" w:hAnsi="Calibri"/>
                <w:bCs/>
                <w:szCs w:val="24"/>
              </w:rPr>
              <w:t xml:space="preserve"> t</w:t>
            </w:r>
            <w:r w:rsidR="00A17383" w:rsidRPr="00A17383">
              <w:rPr>
                <w:rFonts w:ascii="Calibri" w:hAnsi="Calibri"/>
                <w:bCs/>
                <w:szCs w:val="24"/>
              </w:rPr>
              <w:t>he a</w:t>
            </w:r>
            <w:r w:rsidR="00A17383">
              <w:rPr>
                <w:rFonts w:ascii="Calibri" w:hAnsi="Calibri"/>
                <w:bCs/>
                <w:szCs w:val="24"/>
              </w:rPr>
              <w:t>c</w:t>
            </w:r>
            <w:r w:rsidR="00A17383" w:rsidRPr="00A17383">
              <w:rPr>
                <w:rFonts w:ascii="Calibri" w:hAnsi="Calibri"/>
                <w:bCs/>
                <w:szCs w:val="24"/>
              </w:rPr>
              <w:t xml:space="preserve">tion sought from the NEC </w:t>
            </w:r>
            <w:r w:rsidR="00A17383">
              <w:rPr>
                <w:rFonts w:ascii="Calibri" w:hAnsi="Calibri"/>
                <w:bCs/>
                <w:szCs w:val="24"/>
              </w:rPr>
              <w:t>was</w:t>
            </w:r>
            <w:r w:rsidR="00A17383" w:rsidRPr="00A17383">
              <w:rPr>
                <w:rFonts w:ascii="Calibri" w:hAnsi="Calibri"/>
                <w:bCs/>
                <w:szCs w:val="24"/>
              </w:rPr>
              <w:t xml:space="preserve"> representations as &amp; when concessionary travel comes under threat.)</w:t>
            </w:r>
          </w:p>
        </w:tc>
        <w:tc>
          <w:tcPr>
            <w:tcW w:w="1418" w:type="dxa"/>
            <w:tcMar>
              <w:left w:w="85" w:type="dxa"/>
              <w:right w:w="85" w:type="dxa"/>
            </w:tcMar>
          </w:tcPr>
          <w:p w14:paraId="52AD0DF2" w14:textId="22E87E5D" w:rsidR="004A44C4" w:rsidRPr="00A02374" w:rsidRDefault="008044C6">
            <w:pPr>
              <w:spacing w:line="280" w:lineRule="exact"/>
              <w:jc w:val="center"/>
              <w:rPr>
                <w:rFonts w:ascii="Calibri" w:hAnsi="Calibri"/>
                <w:b/>
                <w:szCs w:val="24"/>
                <w:lang w:val="en-GB"/>
              </w:rPr>
            </w:pPr>
            <w:r>
              <w:rPr>
                <w:rFonts w:ascii="Calibri" w:hAnsi="Calibri"/>
                <w:b/>
                <w:szCs w:val="24"/>
                <w:lang w:val="en-GB"/>
              </w:rPr>
              <w:t>Carried</w:t>
            </w:r>
          </w:p>
        </w:tc>
      </w:tr>
    </w:tbl>
    <w:p w14:paraId="60462BC1" w14:textId="77777777" w:rsidR="004A44C4" w:rsidRPr="00A02374" w:rsidRDefault="004A44C4" w:rsidP="005B5891">
      <w:pPr>
        <w:pStyle w:val="TableContents"/>
        <w:spacing w:line="240" w:lineRule="auto"/>
        <w:jc w:val="right"/>
        <w:rPr>
          <w:rFonts w:asciiTheme="minorHAnsi" w:hAnsiTheme="minorHAnsi" w:cstheme="minorHAnsi"/>
          <w:szCs w:val="24"/>
        </w:rPr>
      </w:pPr>
    </w:p>
    <w:sectPr w:rsidR="004A44C4" w:rsidRPr="00A02374" w:rsidSect="004E5121">
      <w:headerReference w:type="first" r:id="rId10"/>
      <w:pgSz w:w="12242" w:h="15842" w:code="1"/>
      <w:pgMar w:top="1134" w:right="1418" w:bottom="1134" w:left="1418"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3AC8C" w14:textId="77777777" w:rsidR="00E678AB" w:rsidRDefault="00E678AB">
      <w:r>
        <w:separator/>
      </w:r>
    </w:p>
  </w:endnote>
  <w:endnote w:type="continuationSeparator" w:id="0">
    <w:p w14:paraId="781CB7BE" w14:textId="77777777" w:rsidR="00E678AB" w:rsidRDefault="00E67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81FF6" w14:textId="77777777" w:rsidR="00E678AB" w:rsidRDefault="00E678AB">
      <w:r>
        <w:separator/>
      </w:r>
    </w:p>
  </w:footnote>
  <w:footnote w:type="continuationSeparator" w:id="0">
    <w:p w14:paraId="04346EB9" w14:textId="77777777" w:rsidR="00E678AB" w:rsidRDefault="00E67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52706" w14:textId="5FC1653D" w:rsidR="00EB05A0" w:rsidRDefault="00EB05A0" w:rsidP="004A44C4">
    <w:pPr>
      <w:pStyle w:val="Header"/>
      <w:jc w:val="center"/>
      <w:rPr>
        <w:rFonts w:ascii="Calibri" w:hAnsi="Calibri"/>
        <w:b/>
        <w:sz w:val="28"/>
        <w:szCs w:val="28"/>
      </w:rPr>
    </w:pPr>
    <w:r>
      <w:rPr>
        <w:rFonts w:ascii="Calibri" w:hAnsi="Calibri"/>
        <w:b/>
        <w:sz w:val="28"/>
        <w:szCs w:val="28"/>
      </w:rPr>
      <w:tab/>
    </w:r>
    <w:r>
      <w:rPr>
        <w:rFonts w:ascii="Calibri" w:hAnsi="Calibri"/>
        <w:b/>
        <w:sz w:val="28"/>
        <w:szCs w:val="28"/>
      </w:rPr>
      <w:tab/>
    </w:r>
  </w:p>
  <w:p w14:paraId="4FF6F61C" w14:textId="77777777" w:rsidR="00C257CD" w:rsidRDefault="00C257CD">
    <w:pPr>
      <w:pStyle w:val="Header"/>
      <w:jc w:val="right"/>
      <w:rPr>
        <w:rFonts w:ascii="Calibri" w:hAnsi="Calibri"/>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0F73"/>
    <w:multiLevelType w:val="multilevel"/>
    <w:tmpl w:val="7EA0553A"/>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Times New Roman" w:hAnsi="Times New Roman" w:cs="Times New Roman" w:hint="default"/>
      </w:rPr>
    </w:lvl>
    <w:lvl w:ilvl="2">
      <w:start w:val="1"/>
      <w:numFmt w:val="bullet"/>
      <w:lvlText w:val="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Tahoma" w:hAnsi="Tahoma" w:cs="Tahoma" w:hint="default"/>
      </w:rPr>
    </w:lvl>
    <w:lvl w:ilvl="4">
      <w:start w:val="1"/>
      <w:numFmt w:val="bullet"/>
      <w:lvlText w:val="o"/>
      <w:lvlJc w:val="left"/>
      <w:pPr>
        <w:tabs>
          <w:tab w:val="num" w:pos="0"/>
        </w:tabs>
        <w:ind w:left="3600" w:hanging="360"/>
      </w:pPr>
      <w:rPr>
        <w:rFonts w:ascii="Times New Roman" w:hAnsi="Times New Roman" w:cs="Times New Roman" w:hint="default"/>
      </w:rPr>
    </w:lvl>
    <w:lvl w:ilvl="5">
      <w:start w:val="1"/>
      <w:numFmt w:val="bullet"/>
      <w:lvlText w:val="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Tahoma" w:hAnsi="Tahoma" w:cs="Tahoma" w:hint="default"/>
      </w:rPr>
    </w:lvl>
    <w:lvl w:ilvl="7">
      <w:start w:val="1"/>
      <w:numFmt w:val="bullet"/>
      <w:lvlText w:val="o"/>
      <w:lvlJc w:val="left"/>
      <w:pPr>
        <w:tabs>
          <w:tab w:val="num" w:pos="0"/>
        </w:tabs>
        <w:ind w:left="5760" w:hanging="360"/>
      </w:pPr>
      <w:rPr>
        <w:rFonts w:ascii="Times New Roman" w:hAnsi="Times New Roman" w:cs="Times New Roman" w:hint="default"/>
      </w:rPr>
    </w:lvl>
    <w:lvl w:ilvl="8">
      <w:start w:val="1"/>
      <w:numFmt w:val="bullet"/>
      <w:lvlText w:val="l"/>
      <w:lvlJc w:val="left"/>
      <w:pPr>
        <w:tabs>
          <w:tab w:val="num" w:pos="0"/>
        </w:tabs>
        <w:ind w:left="6480" w:hanging="360"/>
      </w:pPr>
      <w:rPr>
        <w:rFonts w:ascii="Wingdings" w:hAnsi="Wingdings" w:cs="Wingdings" w:hint="default"/>
      </w:rPr>
    </w:lvl>
  </w:abstractNum>
  <w:abstractNum w:abstractNumId="1" w15:restartNumberingAfterBreak="0">
    <w:nsid w:val="0D496343"/>
    <w:multiLevelType w:val="hybridMultilevel"/>
    <w:tmpl w:val="BECADDC6"/>
    <w:lvl w:ilvl="0" w:tplc="0809000F">
      <w:start w:val="1"/>
      <w:numFmt w:val="decimal"/>
      <w:lvlText w:val="%1."/>
      <w:lvlJc w:val="left"/>
      <w:pPr>
        <w:tabs>
          <w:tab w:val="num" w:pos="816"/>
        </w:tabs>
        <w:ind w:left="816" w:hanging="45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3E4548"/>
    <w:multiLevelType w:val="multilevel"/>
    <w:tmpl w:val="6FF2F3B0"/>
    <w:lvl w:ilvl="0">
      <w:start w:val="1"/>
      <w:numFmt w:val="bullet"/>
      <w:lvlText w:val=""/>
      <w:lvlJc w:val="left"/>
      <w:pPr>
        <w:tabs>
          <w:tab w:val="num" w:pos="0"/>
        </w:tabs>
        <w:ind w:left="360" w:firstLine="0"/>
      </w:pPr>
      <w:rPr>
        <w:rFonts w:ascii="Symbol" w:hAnsi="Symbol" w:hint="default"/>
      </w:rPr>
    </w:lvl>
    <w:lvl w:ilvl="1">
      <w:start w:val="1"/>
      <w:numFmt w:val="none"/>
      <w:suff w:val="nothing"/>
      <w:lvlText w:val="%2"/>
      <w:lvlJc w:val="left"/>
      <w:pPr>
        <w:tabs>
          <w:tab w:val="num" w:pos="0"/>
        </w:tabs>
        <w:ind w:left="360" w:firstLine="0"/>
      </w:pPr>
    </w:lvl>
    <w:lvl w:ilvl="2">
      <w:start w:val="1"/>
      <w:numFmt w:val="decimal"/>
      <w:lvlText w:val="%3."/>
      <w:lvlJc w:val="left"/>
      <w:pPr>
        <w:tabs>
          <w:tab w:val="num" w:pos="0"/>
        </w:tabs>
        <w:ind w:left="927" w:hanging="567"/>
      </w:pPr>
    </w:lvl>
    <w:lvl w:ilvl="3">
      <w:start w:val="1"/>
      <w:numFmt w:val="lowerLetter"/>
      <w:lvlText w:val="%4)"/>
      <w:lvlJc w:val="left"/>
      <w:pPr>
        <w:tabs>
          <w:tab w:val="num" w:pos="0"/>
        </w:tabs>
        <w:ind w:left="927" w:hanging="567"/>
      </w:pPr>
    </w:lvl>
    <w:lvl w:ilvl="4">
      <w:start w:val="1"/>
      <w:numFmt w:val="lowerRoman"/>
      <w:lvlText w:val="%5)"/>
      <w:lvlJc w:val="left"/>
      <w:pPr>
        <w:tabs>
          <w:tab w:val="num" w:pos="0"/>
        </w:tabs>
        <w:ind w:left="927" w:firstLine="0"/>
      </w:pPr>
    </w:lvl>
    <w:lvl w:ilvl="5">
      <w:start w:val="1"/>
      <w:numFmt w:val="none"/>
      <w:suff w:val="nothing"/>
      <w:lvlText w:val="%6"/>
      <w:lvlJc w:val="left"/>
      <w:pPr>
        <w:tabs>
          <w:tab w:val="num" w:pos="0"/>
        </w:tabs>
        <w:ind w:left="2520" w:hanging="360"/>
      </w:pPr>
    </w:lvl>
    <w:lvl w:ilvl="6">
      <w:start w:val="1"/>
      <w:numFmt w:val="none"/>
      <w:suff w:val="nothing"/>
      <w:lvlText w:val="%7"/>
      <w:lvlJc w:val="left"/>
      <w:pPr>
        <w:tabs>
          <w:tab w:val="num" w:pos="0"/>
        </w:tabs>
        <w:ind w:left="2880" w:hanging="360"/>
      </w:pPr>
    </w:lvl>
    <w:lvl w:ilvl="7">
      <w:start w:val="1"/>
      <w:numFmt w:val="none"/>
      <w:suff w:val="nothing"/>
      <w:lvlText w:val="%8"/>
      <w:lvlJc w:val="left"/>
      <w:pPr>
        <w:tabs>
          <w:tab w:val="num" w:pos="0"/>
        </w:tabs>
        <w:ind w:left="3240" w:hanging="360"/>
      </w:pPr>
    </w:lvl>
    <w:lvl w:ilvl="8">
      <w:start w:val="1"/>
      <w:numFmt w:val="none"/>
      <w:suff w:val="nothing"/>
      <w:lvlText w:val="%9"/>
      <w:lvlJc w:val="left"/>
      <w:pPr>
        <w:tabs>
          <w:tab w:val="num" w:pos="0"/>
        </w:tabs>
        <w:ind w:left="3600" w:hanging="360"/>
      </w:pPr>
    </w:lvl>
  </w:abstractNum>
  <w:abstractNum w:abstractNumId="3" w15:restartNumberingAfterBreak="0">
    <w:nsid w:val="3B090404"/>
    <w:multiLevelType w:val="multilevel"/>
    <w:tmpl w:val="4482C398"/>
    <w:lvl w:ilvl="0">
      <w:start w:val="1"/>
      <w:numFmt w:val="decimal"/>
      <w:lvlText w:val="%1)"/>
      <w:lvlJc w:val="left"/>
      <w:pPr>
        <w:tabs>
          <w:tab w:val="num" w:pos="0"/>
        </w:tabs>
        <w:ind w:left="567" w:hanging="567"/>
      </w:pPr>
    </w:lvl>
    <w:lvl w:ilvl="1">
      <w:start w:val="1"/>
      <w:numFmt w:val="lowerLetter"/>
      <w:lvlText w:val="%2)"/>
      <w:lvlJc w:val="left"/>
      <w:pPr>
        <w:tabs>
          <w:tab w:val="num" w:pos="0"/>
        </w:tabs>
        <w:ind w:left="1021" w:hanging="454"/>
      </w:pPr>
    </w:lvl>
    <w:lvl w:ilvl="2">
      <w:start w:val="1"/>
      <w:numFmt w:val="lowerRoman"/>
      <w:lvlText w:val="%3)"/>
      <w:lvlJc w:val="left"/>
      <w:pPr>
        <w:tabs>
          <w:tab w:val="num" w:pos="0"/>
        </w:tabs>
        <w:ind w:left="1588" w:hanging="567"/>
      </w:pPr>
    </w:lvl>
    <w:lvl w:ilvl="3">
      <w:start w:val="1"/>
      <w:numFmt w:val="lowerRoman"/>
      <w:lvlText w:val="%4"/>
      <w:lvlJc w:val="left"/>
      <w:pPr>
        <w:tabs>
          <w:tab w:val="num" w:pos="0"/>
        </w:tabs>
        <w:ind w:left="1985" w:hanging="397"/>
      </w:pPr>
    </w:lvl>
    <w:lvl w:ilvl="4">
      <w:start w:val="1"/>
      <w:numFmt w:val="lowerLetter"/>
      <w:lvlText w:val="%5."/>
      <w:lvlJc w:val="left"/>
      <w:pPr>
        <w:tabs>
          <w:tab w:val="num" w:pos="0"/>
        </w:tabs>
        <w:ind w:left="2268" w:hanging="283"/>
      </w:pPr>
    </w:lvl>
    <w:lvl w:ilvl="5">
      <w:start w:val="1"/>
      <w:numFmt w:val="none"/>
      <w:suff w:val="nothing"/>
      <w:lvlText w:val="%6"/>
      <w:lvlJc w:val="left"/>
      <w:pPr>
        <w:tabs>
          <w:tab w:val="num" w:pos="0"/>
        </w:tabs>
        <w:ind w:left="1871" w:hanging="283"/>
      </w:pPr>
    </w:lvl>
    <w:lvl w:ilvl="6">
      <w:start w:val="1"/>
      <w:numFmt w:val="none"/>
      <w:suff w:val="nothing"/>
      <w:lvlText w:val="%7"/>
      <w:lvlJc w:val="left"/>
      <w:pPr>
        <w:tabs>
          <w:tab w:val="num" w:pos="0"/>
        </w:tabs>
        <w:ind w:left="2520" w:hanging="360"/>
      </w:pPr>
    </w:lvl>
    <w:lvl w:ilvl="7">
      <w:start w:val="1"/>
      <w:numFmt w:val="none"/>
      <w:suff w:val="nothing"/>
      <w:lvlText w:val="%8"/>
      <w:lvlJc w:val="left"/>
      <w:pPr>
        <w:tabs>
          <w:tab w:val="num" w:pos="0"/>
        </w:tabs>
        <w:ind w:left="2880" w:hanging="360"/>
      </w:pPr>
    </w:lvl>
    <w:lvl w:ilvl="8">
      <w:start w:val="1"/>
      <w:numFmt w:val="none"/>
      <w:suff w:val="nothing"/>
      <w:lvlText w:val="%9"/>
      <w:lvlJc w:val="left"/>
      <w:pPr>
        <w:tabs>
          <w:tab w:val="num" w:pos="0"/>
        </w:tabs>
        <w:ind w:left="3240" w:hanging="360"/>
      </w:pPr>
    </w:lvl>
  </w:abstractNum>
  <w:abstractNum w:abstractNumId="4" w15:restartNumberingAfterBreak="0">
    <w:nsid w:val="48AD498F"/>
    <w:multiLevelType w:val="multilevel"/>
    <w:tmpl w:val="A9EEB07C"/>
    <w:lvl w:ilvl="0">
      <w:start w:val="1"/>
      <w:numFmt w:val="bullet"/>
      <w:lvlText w:val=""/>
      <w:lvlJc w:val="left"/>
      <w:pPr>
        <w:tabs>
          <w:tab w:val="num" w:pos="0"/>
        </w:tabs>
        <w:ind w:left="360" w:firstLine="0"/>
      </w:pPr>
      <w:rPr>
        <w:rFonts w:ascii="Symbol" w:hAnsi="Symbol" w:hint="default"/>
      </w:rPr>
    </w:lvl>
    <w:lvl w:ilvl="1">
      <w:start w:val="1"/>
      <w:numFmt w:val="none"/>
      <w:suff w:val="nothing"/>
      <w:lvlText w:val="%2"/>
      <w:lvlJc w:val="left"/>
      <w:pPr>
        <w:tabs>
          <w:tab w:val="num" w:pos="0"/>
        </w:tabs>
        <w:ind w:left="360" w:firstLine="0"/>
      </w:pPr>
    </w:lvl>
    <w:lvl w:ilvl="2">
      <w:start w:val="1"/>
      <w:numFmt w:val="decimal"/>
      <w:lvlText w:val="%3."/>
      <w:lvlJc w:val="left"/>
      <w:pPr>
        <w:tabs>
          <w:tab w:val="num" w:pos="0"/>
        </w:tabs>
        <w:ind w:left="927" w:hanging="567"/>
      </w:pPr>
    </w:lvl>
    <w:lvl w:ilvl="3">
      <w:start w:val="1"/>
      <w:numFmt w:val="lowerLetter"/>
      <w:lvlText w:val="%4)"/>
      <w:lvlJc w:val="left"/>
      <w:pPr>
        <w:tabs>
          <w:tab w:val="num" w:pos="0"/>
        </w:tabs>
        <w:ind w:left="927" w:hanging="567"/>
      </w:pPr>
    </w:lvl>
    <w:lvl w:ilvl="4">
      <w:start w:val="1"/>
      <w:numFmt w:val="lowerRoman"/>
      <w:lvlText w:val="%5)"/>
      <w:lvlJc w:val="left"/>
      <w:pPr>
        <w:tabs>
          <w:tab w:val="num" w:pos="0"/>
        </w:tabs>
        <w:ind w:left="927" w:firstLine="0"/>
      </w:pPr>
    </w:lvl>
    <w:lvl w:ilvl="5">
      <w:start w:val="1"/>
      <w:numFmt w:val="none"/>
      <w:suff w:val="nothing"/>
      <w:lvlText w:val="%6"/>
      <w:lvlJc w:val="left"/>
      <w:pPr>
        <w:tabs>
          <w:tab w:val="num" w:pos="0"/>
        </w:tabs>
        <w:ind w:left="2520" w:hanging="360"/>
      </w:pPr>
    </w:lvl>
    <w:lvl w:ilvl="6">
      <w:start w:val="1"/>
      <w:numFmt w:val="none"/>
      <w:suff w:val="nothing"/>
      <w:lvlText w:val="%7"/>
      <w:lvlJc w:val="left"/>
      <w:pPr>
        <w:tabs>
          <w:tab w:val="num" w:pos="0"/>
        </w:tabs>
        <w:ind w:left="2880" w:hanging="360"/>
      </w:pPr>
    </w:lvl>
    <w:lvl w:ilvl="7">
      <w:start w:val="1"/>
      <w:numFmt w:val="none"/>
      <w:suff w:val="nothing"/>
      <w:lvlText w:val="%8"/>
      <w:lvlJc w:val="left"/>
      <w:pPr>
        <w:tabs>
          <w:tab w:val="num" w:pos="0"/>
        </w:tabs>
        <w:ind w:left="3240" w:hanging="360"/>
      </w:pPr>
    </w:lvl>
    <w:lvl w:ilvl="8">
      <w:start w:val="1"/>
      <w:numFmt w:val="none"/>
      <w:suff w:val="nothing"/>
      <w:lvlText w:val="%9"/>
      <w:lvlJc w:val="left"/>
      <w:pPr>
        <w:tabs>
          <w:tab w:val="num" w:pos="0"/>
        </w:tabs>
        <w:ind w:left="3600" w:hanging="360"/>
      </w:pPr>
    </w:lvl>
  </w:abstractNum>
  <w:abstractNum w:abstractNumId="5" w15:restartNumberingAfterBreak="0">
    <w:nsid w:val="4DB30585"/>
    <w:multiLevelType w:val="multilevel"/>
    <w:tmpl w:val="647077B8"/>
    <w:lvl w:ilvl="0">
      <w:start w:val="1"/>
      <w:numFmt w:val="bullet"/>
      <w:lvlText w:val=""/>
      <w:lvlJc w:val="left"/>
      <w:pPr>
        <w:tabs>
          <w:tab w:val="num" w:pos="0"/>
        </w:tabs>
        <w:ind w:left="360" w:firstLine="0"/>
      </w:pPr>
      <w:rPr>
        <w:rFonts w:ascii="Tahoma" w:hAnsi="Tahoma" w:cs="Tahoma" w:hint="default"/>
      </w:rPr>
    </w:lvl>
    <w:lvl w:ilvl="1">
      <w:start w:val="1"/>
      <w:numFmt w:val="decimal"/>
      <w:lvlText w:val="%2)"/>
      <w:lvlJc w:val="left"/>
      <w:pPr>
        <w:ind w:left="720" w:hanging="360"/>
      </w:pPr>
    </w:lvl>
    <w:lvl w:ilvl="2">
      <w:start w:val="1"/>
      <w:numFmt w:val="decimal"/>
      <w:lvlText w:val="%3."/>
      <w:lvlJc w:val="left"/>
      <w:pPr>
        <w:tabs>
          <w:tab w:val="num" w:pos="0"/>
        </w:tabs>
        <w:ind w:left="927" w:hanging="567"/>
      </w:pPr>
    </w:lvl>
    <w:lvl w:ilvl="3">
      <w:start w:val="1"/>
      <w:numFmt w:val="lowerLetter"/>
      <w:lvlText w:val="%4)"/>
      <w:lvlJc w:val="left"/>
      <w:pPr>
        <w:tabs>
          <w:tab w:val="num" w:pos="0"/>
        </w:tabs>
        <w:ind w:left="927" w:hanging="567"/>
      </w:pPr>
    </w:lvl>
    <w:lvl w:ilvl="4">
      <w:start w:val="1"/>
      <w:numFmt w:val="lowerRoman"/>
      <w:lvlText w:val="%5)"/>
      <w:lvlJc w:val="left"/>
      <w:pPr>
        <w:tabs>
          <w:tab w:val="num" w:pos="0"/>
        </w:tabs>
        <w:ind w:left="927" w:firstLine="0"/>
      </w:pPr>
    </w:lvl>
    <w:lvl w:ilvl="5">
      <w:start w:val="1"/>
      <w:numFmt w:val="none"/>
      <w:suff w:val="nothing"/>
      <w:lvlText w:val="%6"/>
      <w:lvlJc w:val="left"/>
      <w:pPr>
        <w:tabs>
          <w:tab w:val="num" w:pos="0"/>
        </w:tabs>
        <w:ind w:left="2520" w:hanging="360"/>
      </w:pPr>
    </w:lvl>
    <w:lvl w:ilvl="6">
      <w:start w:val="1"/>
      <w:numFmt w:val="none"/>
      <w:suff w:val="nothing"/>
      <w:lvlText w:val="%7"/>
      <w:lvlJc w:val="left"/>
      <w:pPr>
        <w:tabs>
          <w:tab w:val="num" w:pos="0"/>
        </w:tabs>
        <w:ind w:left="2880" w:hanging="360"/>
      </w:pPr>
    </w:lvl>
    <w:lvl w:ilvl="7">
      <w:start w:val="1"/>
      <w:numFmt w:val="none"/>
      <w:suff w:val="nothing"/>
      <w:lvlText w:val="%8"/>
      <w:lvlJc w:val="left"/>
      <w:pPr>
        <w:tabs>
          <w:tab w:val="num" w:pos="0"/>
        </w:tabs>
        <w:ind w:left="3240" w:hanging="360"/>
      </w:pPr>
    </w:lvl>
    <w:lvl w:ilvl="8">
      <w:start w:val="1"/>
      <w:numFmt w:val="none"/>
      <w:suff w:val="nothing"/>
      <w:lvlText w:val="%9"/>
      <w:lvlJc w:val="left"/>
      <w:pPr>
        <w:tabs>
          <w:tab w:val="num" w:pos="0"/>
        </w:tabs>
        <w:ind w:left="3600" w:hanging="360"/>
      </w:pPr>
    </w:lvl>
  </w:abstractNum>
  <w:abstractNum w:abstractNumId="6" w15:restartNumberingAfterBreak="0">
    <w:nsid w:val="543009E0"/>
    <w:multiLevelType w:val="hybridMultilevel"/>
    <w:tmpl w:val="1FAED124"/>
    <w:lvl w:ilvl="0" w:tplc="08090011">
      <w:start w:val="1"/>
      <w:numFmt w:val="decimal"/>
      <w:lvlText w:val="%1)"/>
      <w:lvlJc w:val="left"/>
      <w:pPr>
        <w:ind w:left="1058" w:hanging="360"/>
      </w:pPr>
    </w:lvl>
    <w:lvl w:ilvl="1" w:tplc="08090019" w:tentative="1">
      <w:start w:val="1"/>
      <w:numFmt w:val="lowerLetter"/>
      <w:lvlText w:val="%2."/>
      <w:lvlJc w:val="left"/>
      <w:pPr>
        <w:ind w:left="1778" w:hanging="360"/>
      </w:pPr>
    </w:lvl>
    <w:lvl w:ilvl="2" w:tplc="0809001B" w:tentative="1">
      <w:start w:val="1"/>
      <w:numFmt w:val="lowerRoman"/>
      <w:lvlText w:val="%3."/>
      <w:lvlJc w:val="right"/>
      <w:pPr>
        <w:ind w:left="2498" w:hanging="180"/>
      </w:pPr>
    </w:lvl>
    <w:lvl w:ilvl="3" w:tplc="0809000F" w:tentative="1">
      <w:start w:val="1"/>
      <w:numFmt w:val="decimal"/>
      <w:lvlText w:val="%4."/>
      <w:lvlJc w:val="left"/>
      <w:pPr>
        <w:ind w:left="3218" w:hanging="360"/>
      </w:pPr>
    </w:lvl>
    <w:lvl w:ilvl="4" w:tplc="08090019" w:tentative="1">
      <w:start w:val="1"/>
      <w:numFmt w:val="lowerLetter"/>
      <w:lvlText w:val="%5."/>
      <w:lvlJc w:val="left"/>
      <w:pPr>
        <w:ind w:left="3938" w:hanging="360"/>
      </w:pPr>
    </w:lvl>
    <w:lvl w:ilvl="5" w:tplc="0809001B" w:tentative="1">
      <w:start w:val="1"/>
      <w:numFmt w:val="lowerRoman"/>
      <w:lvlText w:val="%6."/>
      <w:lvlJc w:val="right"/>
      <w:pPr>
        <w:ind w:left="4658" w:hanging="180"/>
      </w:pPr>
    </w:lvl>
    <w:lvl w:ilvl="6" w:tplc="0809000F" w:tentative="1">
      <w:start w:val="1"/>
      <w:numFmt w:val="decimal"/>
      <w:lvlText w:val="%7."/>
      <w:lvlJc w:val="left"/>
      <w:pPr>
        <w:ind w:left="5378" w:hanging="360"/>
      </w:pPr>
    </w:lvl>
    <w:lvl w:ilvl="7" w:tplc="08090019" w:tentative="1">
      <w:start w:val="1"/>
      <w:numFmt w:val="lowerLetter"/>
      <w:lvlText w:val="%8."/>
      <w:lvlJc w:val="left"/>
      <w:pPr>
        <w:ind w:left="6098" w:hanging="360"/>
      </w:pPr>
    </w:lvl>
    <w:lvl w:ilvl="8" w:tplc="0809001B" w:tentative="1">
      <w:start w:val="1"/>
      <w:numFmt w:val="lowerRoman"/>
      <w:lvlText w:val="%9."/>
      <w:lvlJc w:val="right"/>
      <w:pPr>
        <w:ind w:left="6818" w:hanging="180"/>
      </w:pPr>
    </w:lvl>
  </w:abstractNum>
  <w:abstractNum w:abstractNumId="7" w15:restartNumberingAfterBreak="0">
    <w:nsid w:val="591E0BBF"/>
    <w:multiLevelType w:val="hybridMultilevel"/>
    <w:tmpl w:val="C4CECDD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70DB40A7"/>
    <w:multiLevelType w:val="hybridMultilevel"/>
    <w:tmpl w:val="8C32E558"/>
    <w:lvl w:ilvl="0" w:tplc="7BF24EC6">
      <w:start w:val="1"/>
      <w:numFmt w:val="decimal"/>
      <w:lvlText w:val="(%1)"/>
      <w:lvlJc w:val="left"/>
      <w:pPr>
        <w:tabs>
          <w:tab w:val="num" w:pos="816"/>
        </w:tabs>
        <w:ind w:left="816" w:hanging="45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2B02110"/>
    <w:multiLevelType w:val="hybridMultilevel"/>
    <w:tmpl w:val="B066C9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8090011">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68217052">
    <w:abstractNumId w:val="8"/>
  </w:num>
  <w:num w:numId="2" w16cid:durableId="1494640652">
    <w:abstractNumId w:val="1"/>
  </w:num>
  <w:num w:numId="3" w16cid:durableId="1271084137">
    <w:abstractNumId w:val="7"/>
  </w:num>
  <w:num w:numId="4" w16cid:durableId="738213963">
    <w:abstractNumId w:val="2"/>
  </w:num>
  <w:num w:numId="5" w16cid:durableId="1090472074">
    <w:abstractNumId w:val="3"/>
  </w:num>
  <w:num w:numId="6" w16cid:durableId="1899049197">
    <w:abstractNumId w:val="5"/>
  </w:num>
  <w:num w:numId="7" w16cid:durableId="1213497030">
    <w:abstractNumId w:val="4"/>
  </w:num>
  <w:num w:numId="8" w16cid:durableId="1778913075">
    <w:abstractNumId w:val="0"/>
  </w:num>
  <w:num w:numId="9" w16cid:durableId="695231343">
    <w:abstractNumId w:val="9"/>
  </w:num>
  <w:num w:numId="10" w16cid:durableId="10949787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43"/>
  <w:displayHorizontalDrawingGridEvery w:val="0"/>
  <w:displayVerticalDrawingGridEvery w:val="2"/>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28B"/>
    <w:rsid w:val="00006177"/>
    <w:rsid w:val="00011153"/>
    <w:rsid w:val="0001460E"/>
    <w:rsid w:val="000159B3"/>
    <w:rsid w:val="00034F82"/>
    <w:rsid w:val="00036960"/>
    <w:rsid w:val="00036A4E"/>
    <w:rsid w:val="00037F82"/>
    <w:rsid w:val="00061B2C"/>
    <w:rsid w:val="00071EE9"/>
    <w:rsid w:val="0007761B"/>
    <w:rsid w:val="00077762"/>
    <w:rsid w:val="00083074"/>
    <w:rsid w:val="00094EA0"/>
    <w:rsid w:val="000969CB"/>
    <w:rsid w:val="00097F23"/>
    <w:rsid w:val="000A1762"/>
    <w:rsid w:val="000C5ABD"/>
    <w:rsid w:val="000D0E99"/>
    <w:rsid w:val="000E2AEC"/>
    <w:rsid w:val="000F1C24"/>
    <w:rsid w:val="000F48CD"/>
    <w:rsid w:val="000F4D37"/>
    <w:rsid w:val="00100383"/>
    <w:rsid w:val="00101CD2"/>
    <w:rsid w:val="00102E37"/>
    <w:rsid w:val="00103228"/>
    <w:rsid w:val="001129AB"/>
    <w:rsid w:val="00142C86"/>
    <w:rsid w:val="001572E8"/>
    <w:rsid w:val="00172A27"/>
    <w:rsid w:val="001877B1"/>
    <w:rsid w:val="0019143F"/>
    <w:rsid w:val="001B0CB8"/>
    <w:rsid w:val="001C6726"/>
    <w:rsid w:val="001D1488"/>
    <w:rsid w:val="001D5CFE"/>
    <w:rsid w:val="001D72B1"/>
    <w:rsid w:val="001D768F"/>
    <w:rsid w:val="00205524"/>
    <w:rsid w:val="002055FC"/>
    <w:rsid w:val="00214A38"/>
    <w:rsid w:val="00235498"/>
    <w:rsid w:val="00235FA9"/>
    <w:rsid w:val="002428A7"/>
    <w:rsid w:val="00254618"/>
    <w:rsid w:val="00257BD3"/>
    <w:rsid w:val="002617FA"/>
    <w:rsid w:val="00276CD4"/>
    <w:rsid w:val="002830C8"/>
    <w:rsid w:val="00295306"/>
    <w:rsid w:val="002A69E9"/>
    <w:rsid w:val="002B43EF"/>
    <w:rsid w:val="002B6A1F"/>
    <w:rsid w:val="002B76C2"/>
    <w:rsid w:val="002E33B6"/>
    <w:rsid w:val="003064BE"/>
    <w:rsid w:val="003124F4"/>
    <w:rsid w:val="003637F5"/>
    <w:rsid w:val="00365397"/>
    <w:rsid w:val="00385599"/>
    <w:rsid w:val="003A731A"/>
    <w:rsid w:val="003B4281"/>
    <w:rsid w:val="00405A8D"/>
    <w:rsid w:val="004178EA"/>
    <w:rsid w:val="00422496"/>
    <w:rsid w:val="00423CB3"/>
    <w:rsid w:val="004357FA"/>
    <w:rsid w:val="00443918"/>
    <w:rsid w:val="00454EA3"/>
    <w:rsid w:val="00456013"/>
    <w:rsid w:val="0046412E"/>
    <w:rsid w:val="004669B9"/>
    <w:rsid w:val="00472882"/>
    <w:rsid w:val="00476361"/>
    <w:rsid w:val="00481891"/>
    <w:rsid w:val="004831AD"/>
    <w:rsid w:val="004A0F35"/>
    <w:rsid w:val="004A44C4"/>
    <w:rsid w:val="004B192B"/>
    <w:rsid w:val="004C4626"/>
    <w:rsid w:val="004E0556"/>
    <w:rsid w:val="004E5121"/>
    <w:rsid w:val="004E56FA"/>
    <w:rsid w:val="004F4007"/>
    <w:rsid w:val="004F76E8"/>
    <w:rsid w:val="00501635"/>
    <w:rsid w:val="005043AE"/>
    <w:rsid w:val="00504584"/>
    <w:rsid w:val="00560E73"/>
    <w:rsid w:val="005764BA"/>
    <w:rsid w:val="00581D31"/>
    <w:rsid w:val="00583CC1"/>
    <w:rsid w:val="00591B57"/>
    <w:rsid w:val="00591FC6"/>
    <w:rsid w:val="005A4252"/>
    <w:rsid w:val="005A7C12"/>
    <w:rsid w:val="005B5891"/>
    <w:rsid w:val="00600F64"/>
    <w:rsid w:val="0061528F"/>
    <w:rsid w:val="006223FC"/>
    <w:rsid w:val="00624280"/>
    <w:rsid w:val="00635B23"/>
    <w:rsid w:val="00660F17"/>
    <w:rsid w:val="006646A7"/>
    <w:rsid w:val="006666B7"/>
    <w:rsid w:val="006740B4"/>
    <w:rsid w:val="00680C43"/>
    <w:rsid w:val="00686593"/>
    <w:rsid w:val="00686E12"/>
    <w:rsid w:val="006B0AB5"/>
    <w:rsid w:val="006B2233"/>
    <w:rsid w:val="006D6F99"/>
    <w:rsid w:val="006E2290"/>
    <w:rsid w:val="00707D5F"/>
    <w:rsid w:val="007146E1"/>
    <w:rsid w:val="00717B47"/>
    <w:rsid w:val="00741259"/>
    <w:rsid w:val="0077080C"/>
    <w:rsid w:val="00775008"/>
    <w:rsid w:val="00794F0F"/>
    <w:rsid w:val="007A5CFC"/>
    <w:rsid w:val="007A6944"/>
    <w:rsid w:val="007D0185"/>
    <w:rsid w:val="007D543E"/>
    <w:rsid w:val="008044C6"/>
    <w:rsid w:val="00815AB9"/>
    <w:rsid w:val="00820459"/>
    <w:rsid w:val="00822453"/>
    <w:rsid w:val="00854385"/>
    <w:rsid w:val="00857D48"/>
    <w:rsid w:val="008802E8"/>
    <w:rsid w:val="00893F75"/>
    <w:rsid w:val="008A43FF"/>
    <w:rsid w:val="008A54B2"/>
    <w:rsid w:val="008A556F"/>
    <w:rsid w:val="008E0B8A"/>
    <w:rsid w:val="008E22CD"/>
    <w:rsid w:val="008E308B"/>
    <w:rsid w:val="008F5A62"/>
    <w:rsid w:val="00920C90"/>
    <w:rsid w:val="00937163"/>
    <w:rsid w:val="0095666B"/>
    <w:rsid w:val="009652E6"/>
    <w:rsid w:val="00973037"/>
    <w:rsid w:val="009847AF"/>
    <w:rsid w:val="0099446C"/>
    <w:rsid w:val="009B1067"/>
    <w:rsid w:val="009B3FF8"/>
    <w:rsid w:val="009C69E3"/>
    <w:rsid w:val="009D4FA6"/>
    <w:rsid w:val="009E22F4"/>
    <w:rsid w:val="009F2671"/>
    <w:rsid w:val="00A01C96"/>
    <w:rsid w:val="00A01E58"/>
    <w:rsid w:val="00A02374"/>
    <w:rsid w:val="00A17383"/>
    <w:rsid w:val="00A26C91"/>
    <w:rsid w:val="00A30398"/>
    <w:rsid w:val="00A30471"/>
    <w:rsid w:val="00A326CC"/>
    <w:rsid w:val="00A34136"/>
    <w:rsid w:val="00A36231"/>
    <w:rsid w:val="00A503A0"/>
    <w:rsid w:val="00A510D5"/>
    <w:rsid w:val="00A51951"/>
    <w:rsid w:val="00A52ADE"/>
    <w:rsid w:val="00A54B13"/>
    <w:rsid w:val="00A60F0F"/>
    <w:rsid w:val="00A63C43"/>
    <w:rsid w:val="00A674E0"/>
    <w:rsid w:val="00A73EDA"/>
    <w:rsid w:val="00A75D67"/>
    <w:rsid w:val="00A87831"/>
    <w:rsid w:val="00AB1730"/>
    <w:rsid w:val="00AB6B23"/>
    <w:rsid w:val="00AC1451"/>
    <w:rsid w:val="00AD2B28"/>
    <w:rsid w:val="00AD2D77"/>
    <w:rsid w:val="00AD6233"/>
    <w:rsid w:val="00AD6265"/>
    <w:rsid w:val="00B00030"/>
    <w:rsid w:val="00B003E9"/>
    <w:rsid w:val="00B0509C"/>
    <w:rsid w:val="00B13BF8"/>
    <w:rsid w:val="00B13E82"/>
    <w:rsid w:val="00B2017A"/>
    <w:rsid w:val="00B263D4"/>
    <w:rsid w:val="00B33CA6"/>
    <w:rsid w:val="00B36F74"/>
    <w:rsid w:val="00B42B43"/>
    <w:rsid w:val="00B522F7"/>
    <w:rsid w:val="00B62236"/>
    <w:rsid w:val="00B6523A"/>
    <w:rsid w:val="00B84789"/>
    <w:rsid w:val="00B96D7D"/>
    <w:rsid w:val="00BA1A08"/>
    <w:rsid w:val="00BB2CAC"/>
    <w:rsid w:val="00BC207C"/>
    <w:rsid w:val="00BD056A"/>
    <w:rsid w:val="00BE08A9"/>
    <w:rsid w:val="00BE3DAD"/>
    <w:rsid w:val="00BF045F"/>
    <w:rsid w:val="00C00415"/>
    <w:rsid w:val="00C059FA"/>
    <w:rsid w:val="00C22090"/>
    <w:rsid w:val="00C23472"/>
    <w:rsid w:val="00C2460A"/>
    <w:rsid w:val="00C257CD"/>
    <w:rsid w:val="00C337B4"/>
    <w:rsid w:val="00C442F7"/>
    <w:rsid w:val="00C45441"/>
    <w:rsid w:val="00C54669"/>
    <w:rsid w:val="00C639FC"/>
    <w:rsid w:val="00C820D1"/>
    <w:rsid w:val="00C90E7E"/>
    <w:rsid w:val="00CA4FDF"/>
    <w:rsid w:val="00CD1193"/>
    <w:rsid w:val="00CD7AA5"/>
    <w:rsid w:val="00CE0318"/>
    <w:rsid w:val="00CE6A46"/>
    <w:rsid w:val="00CF0DCF"/>
    <w:rsid w:val="00CF345C"/>
    <w:rsid w:val="00CF577E"/>
    <w:rsid w:val="00CF5D14"/>
    <w:rsid w:val="00D01CEA"/>
    <w:rsid w:val="00D31F0D"/>
    <w:rsid w:val="00D3285B"/>
    <w:rsid w:val="00D37EC2"/>
    <w:rsid w:val="00D46455"/>
    <w:rsid w:val="00D50785"/>
    <w:rsid w:val="00D62420"/>
    <w:rsid w:val="00D76188"/>
    <w:rsid w:val="00D81AC4"/>
    <w:rsid w:val="00D81EA0"/>
    <w:rsid w:val="00D90308"/>
    <w:rsid w:val="00D975DA"/>
    <w:rsid w:val="00DB029E"/>
    <w:rsid w:val="00DC1C9C"/>
    <w:rsid w:val="00DD2429"/>
    <w:rsid w:val="00DD2C4B"/>
    <w:rsid w:val="00DE0260"/>
    <w:rsid w:val="00DE0311"/>
    <w:rsid w:val="00DF4471"/>
    <w:rsid w:val="00E079B7"/>
    <w:rsid w:val="00E1282F"/>
    <w:rsid w:val="00E2246B"/>
    <w:rsid w:val="00E235E6"/>
    <w:rsid w:val="00E24DF2"/>
    <w:rsid w:val="00E317C1"/>
    <w:rsid w:val="00E331DF"/>
    <w:rsid w:val="00E44927"/>
    <w:rsid w:val="00E56E8E"/>
    <w:rsid w:val="00E678AB"/>
    <w:rsid w:val="00E97604"/>
    <w:rsid w:val="00EA777D"/>
    <w:rsid w:val="00EB05A0"/>
    <w:rsid w:val="00EC0943"/>
    <w:rsid w:val="00EC31FA"/>
    <w:rsid w:val="00EE494A"/>
    <w:rsid w:val="00F369E6"/>
    <w:rsid w:val="00F3795E"/>
    <w:rsid w:val="00F51FCD"/>
    <w:rsid w:val="00F53F68"/>
    <w:rsid w:val="00F555F1"/>
    <w:rsid w:val="00F56573"/>
    <w:rsid w:val="00F56CFB"/>
    <w:rsid w:val="00F57926"/>
    <w:rsid w:val="00F629C4"/>
    <w:rsid w:val="00F643BF"/>
    <w:rsid w:val="00F715F9"/>
    <w:rsid w:val="00F71962"/>
    <w:rsid w:val="00F75081"/>
    <w:rsid w:val="00F92A7A"/>
    <w:rsid w:val="00F92BA4"/>
    <w:rsid w:val="00FA7141"/>
    <w:rsid w:val="00FB2E7D"/>
    <w:rsid w:val="00FD3E1F"/>
    <w:rsid w:val="00FD425B"/>
    <w:rsid w:val="00FD5C1E"/>
    <w:rsid w:val="00FD6945"/>
    <w:rsid w:val="00FE365A"/>
    <w:rsid w:val="00FE4B60"/>
    <w:rsid w:val="00FE58D6"/>
    <w:rsid w:val="05C0196F"/>
    <w:rsid w:val="621E16A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7195B363"/>
  <w15:chartTrackingRefBased/>
  <w15:docId w15:val="{79135914-B3CD-458D-8302-39DD9C750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index heading" w:semiHidden="1"/>
    <w:lsdException w:name="caption" w:semiHidden="1" w:unhideWhenUsed="1" w:qFormat="1"/>
    <w:lsdException w:name="table of figures" w:semiHidden="1"/>
    <w:lsdException w:name="footnote reference" w:semiHidden="1"/>
    <w:lsdException w:name="annotation reference" w:semiHidden="1"/>
    <w:lsdException w:name="endnote reference" w:semiHidden="1"/>
    <w:lsdException w:name="endnote text" w:semiHidden="1"/>
    <w:lsdException w:name="table of authorities" w:semiHidden="1"/>
    <w:lsdException w:name="macro" w:semiHidden="1"/>
    <w:lsdException w:name="toa heading" w:semiHidden="1"/>
    <w:lsdException w:name="Title" w:qFormat="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lsdException w:name="Table Theme"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kern w:val="2"/>
      <w:sz w:val="24"/>
      <w:lang w:val="en-US" w:eastAsia="zh-CN"/>
    </w:rPr>
  </w:style>
  <w:style w:type="paragraph" w:styleId="Heading1">
    <w:name w:val="heading 1"/>
    <w:basedOn w:val="Normal"/>
    <w:next w:val="Normal"/>
    <w:qFormat/>
    <w:pPr>
      <w:keepNext/>
      <w:keepLines/>
      <w:spacing w:before="240" w:after="60"/>
      <w:outlineLvl w:val="0"/>
    </w:pPr>
    <w:rPr>
      <w:rFonts w:ascii="Arial" w:hAnsi="Arial"/>
      <w:b/>
      <w:kern w:val="44"/>
      <w:sz w:val="32"/>
    </w:rPr>
  </w:style>
  <w:style w:type="paragraph" w:styleId="Heading2">
    <w:name w:val="heading 2"/>
    <w:basedOn w:val="Normal"/>
    <w:next w:val="Normal"/>
    <w:qFormat/>
    <w:pPr>
      <w:keepNext/>
      <w:keepLines/>
      <w:spacing w:before="240" w:after="60"/>
      <w:outlineLvl w:val="1"/>
    </w:pPr>
    <w:rPr>
      <w:rFonts w:ascii="Arial" w:hAnsi="Arial"/>
      <w:b/>
      <w:i/>
      <w:sz w:val="28"/>
    </w:rPr>
  </w:style>
  <w:style w:type="paragraph" w:styleId="Heading3">
    <w:name w:val="heading 3"/>
    <w:basedOn w:val="Normal"/>
    <w:next w:val="Normal"/>
    <w:qFormat/>
    <w:pPr>
      <w:keepNext/>
      <w:keepLines/>
      <w:spacing w:before="240" w:after="60"/>
      <w:outlineLvl w:val="2"/>
    </w:pPr>
    <w:rPr>
      <w:rFonts w:ascii="Arial" w:hAnsi="Arial"/>
      <w:b/>
      <w:sz w:val="26"/>
    </w:rPr>
  </w:style>
  <w:style w:type="paragraph" w:styleId="Heading4">
    <w:name w:val="heading 4"/>
    <w:basedOn w:val="Normal"/>
    <w:next w:val="Normal"/>
    <w:qFormat/>
    <w:pPr>
      <w:keepNext/>
      <w:keepLines/>
      <w:spacing w:before="240" w:after="60"/>
      <w:outlineLvl w:val="3"/>
    </w:pPr>
    <w:rPr>
      <w:b/>
      <w:sz w:val="28"/>
    </w:rPr>
  </w:style>
  <w:style w:type="paragraph" w:styleId="Heading5">
    <w:name w:val="heading 5"/>
    <w:basedOn w:val="Normal"/>
    <w:next w:val="Normal"/>
    <w:qFormat/>
    <w:pPr>
      <w:keepNext/>
      <w:keepLines/>
      <w:spacing w:before="240" w:after="60"/>
      <w:outlineLvl w:val="4"/>
    </w:pPr>
    <w:rPr>
      <w:b/>
      <w:i/>
      <w:sz w:val="26"/>
    </w:rPr>
  </w:style>
  <w:style w:type="paragraph" w:styleId="Heading6">
    <w:name w:val="heading 6"/>
    <w:basedOn w:val="Normal"/>
    <w:next w:val="Normal"/>
    <w:qFormat/>
    <w:pPr>
      <w:keepNext/>
      <w:keepLines/>
      <w:spacing w:before="240" w:after="60"/>
      <w:outlineLvl w:val="5"/>
    </w:pPr>
    <w:rPr>
      <w:b/>
      <w:sz w:val="22"/>
    </w:rPr>
  </w:style>
  <w:style w:type="paragraph" w:styleId="Heading7">
    <w:name w:val="heading 7"/>
    <w:basedOn w:val="Normal"/>
    <w:next w:val="Normal"/>
    <w:qFormat/>
    <w:pPr>
      <w:keepNext/>
      <w:keepLines/>
      <w:spacing w:before="240" w:after="60"/>
      <w:outlineLvl w:val="6"/>
    </w:pPr>
  </w:style>
  <w:style w:type="paragraph" w:styleId="Heading8">
    <w:name w:val="heading 8"/>
    <w:basedOn w:val="Normal"/>
    <w:next w:val="Normal"/>
    <w:qFormat/>
    <w:pPr>
      <w:keepNext/>
      <w:keepLines/>
      <w:spacing w:before="240" w:after="60"/>
      <w:outlineLvl w:val="7"/>
    </w:pPr>
    <w:rPr>
      <w:i/>
    </w:rPr>
  </w:style>
  <w:style w:type="paragraph" w:styleId="Heading9">
    <w:name w:val="heading 9"/>
    <w:basedOn w:val="Normal"/>
    <w:next w:val="Normal"/>
    <w:qFormat/>
    <w:pPr>
      <w:keepNext/>
      <w:keepLines/>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link w:val="BalloonText"/>
    <w:semiHidden/>
    <w:rPr>
      <w:rFonts w:ascii="Tahoma" w:hAnsi="Tahoma" w:cs="Tahoma"/>
      <w:kern w:val="2"/>
      <w:sz w:val="16"/>
      <w:szCs w:val="16"/>
      <w:lang w:val="en-US" w:eastAsia="zh-CN"/>
    </w:rPr>
  </w:style>
  <w:style w:type="paragraph" w:styleId="NoSpacing">
    <w:name w:val="No Spacing"/>
    <w:uiPriority w:val="1"/>
    <w:qFormat/>
    <w:rPr>
      <w:rFonts w:ascii="Calibri" w:eastAsia="Calibri" w:hAnsi="Calibri"/>
      <w:sz w:val="22"/>
      <w:szCs w:val="22"/>
      <w:lang w:eastAsia="en-US"/>
    </w:rPr>
  </w:style>
  <w:style w:type="paragraph" w:styleId="Footer">
    <w:name w:val="footer"/>
    <w:basedOn w:val="Normal"/>
    <w:pPr>
      <w:tabs>
        <w:tab w:val="center" w:pos="4153"/>
        <w:tab w:val="right" w:pos="8306"/>
      </w:tabs>
      <w:snapToGrid w:val="0"/>
    </w:pPr>
    <w:rPr>
      <w:sz w:val="18"/>
      <w:szCs w:val="18"/>
    </w:rPr>
  </w:style>
  <w:style w:type="paragraph" w:styleId="BalloonText">
    <w:name w:val="Balloon Text"/>
    <w:basedOn w:val="Normal"/>
    <w:link w:val="BalloonTextChar"/>
    <w:semiHidden/>
    <w:rPr>
      <w:rFonts w:ascii="Tahoma" w:hAnsi="Tahoma" w:cs="Tahoma"/>
      <w:sz w:val="16"/>
      <w:szCs w:val="16"/>
    </w:rPr>
  </w:style>
  <w:style w:type="paragraph" w:styleId="Header">
    <w:name w:val="header"/>
    <w:basedOn w:val="Normal"/>
    <w:pPr>
      <w:tabs>
        <w:tab w:val="center" w:pos="4153"/>
        <w:tab w:val="right" w:pos="8306"/>
      </w:tabs>
      <w:snapToGrid w:val="0"/>
    </w:pPr>
    <w:rPr>
      <w:sz w:val="18"/>
      <w:szCs w:val="18"/>
    </w:rPr>
  </w:style>
  <w:style w:type="character" w:styleId="Hyperlink">
    <w:name w:val="Hyperlink"/>
    <w:rsid w:val="00A503A0"/>
    <w:rPr>
      <w:color w:val="0000FF"/>
      <w:u w:val="single"/>
    </w:rPr>
  </w:style>
  <w:style w:type="character" w:styleId="FollowedHyperlink">
    <w:name w:val="FollowedHyperlink"/>
    <w:rsid w:val="00A503A0"/>
    <w:rPr>
      <w:color w:val="800080"/>
      <w:u w:val="single"/>
    </w:rPr>
  </w:style>
  <w:style w:type="paragraph" w:styleId="ListParagraph">
    <w:name w:val="List Paragraph"/>
    <w:basedOn w:val="Normal"/>
    <w:qFormat/>
    <w:rsid w:val="004A44C4"/>
    <w:pPr>
      <w:widowControl/>
      <w:ind w:left="720"/>
      <w:contextualSpacing/>
    </w:pPr>
    <w:rPr>
      <w:rFonts w:ascii="Calibri" w:eastAsiaTheme="minorHAnsi" w:hAnsi="Calibri" w:cs="Calibri"/>
      <w:kern w:val="0"/>
      <w:sz w:val="22"/>
      <w:szCs w:val="22"/>
      <w:lang w:val="en-GB" w:eastAsia="en-US"/>
    </w:rPr>
  </w:style>
  <w:style w:type="paragraph" w:styleId="ListNumber">
    <w:name w:val="List Number"/>
    <w:basedOn w:val="Normal"/>
    <w:rsid w:val="003A731A"/>
    <w:pPr>
      <w:widowControl/>
      <w:tabs>
        <w:tab w:val="left" w:pos="1134"/>
        <w:tab w:val="left" w:pos="6861"/>
      </w:tabs>
      <w:suppressAutoHyphens/>
      <w:spacing w:before="120" w:after="120" w:line="280" w:lineRule="exact"/>
    </w:pPr>
    <w:rPr>
      <w:rFonts w:ascii="Verdana" w:eastAsia="Verdana" w:hAnsi="Verdana" w:cs="Verdana"/>
      <w:kern w:val="0"/>
      <w:sz w:val="20"/>
      <w:lang w:val="en-GB" w:eastAsia="en-US"/>
    </w:rPr>
  </w:style>
  <w:style w:type="paragraph" w:customStyle="1" w:styleId="TableContents">
    <w:name w:val="Table Contents"/>
    <w:basedOn w:val="Normal"/>
    <w:qFormat/>
    <w:rsid w:val="003A731A"/>
    <w:pPr>
      <w:suppressLineNumbers/>
      <w:tabs>
        <w:tab w:val="left" w:pos="1134"/>
        <w:tab w:val="left" w:pos="6861"/>
      </w:tabs>
      <w:suppressAutoHyphens/>
      <w:spacing w:line="280" w:lineRule="exact"/>
    </w:pPr>
    <w:rPr>
      <w:rFonts w:ascii="Verdana" w:eastAsia="Verdana" w:hAnsi="Verdana" w:cs="Verdana"/>
      <w:kern w:val="0"/>
      <w:sz w:val="20"/>
      <w:lang w:val="en-GB" w:eastAsia="en-US"/>
    </w:rPr>
  </w:style>
  <w:style w:type="character" w:styleId="UnresolvedMention">
    <w:name w:val="Unresolved Mention"/>
    <w:basedOn w:val="DefaultParagraphFont"/>
    <w:uiPriority w:val="99"/>
    <w:semiHidden/>
    <w:unhideWhenUsed/>
    <w:rsid w:val="009B1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611925">
      <w:bodyDiv w:val="1"/>
      <w:marLeft w:val="0"/>
      <w:marRight w:val="0"/>
      <w:marTop w:val="0"/>
      <w:marBottom w:val="0"/>
      <w:divBdr>
        <w:top w:val="none" w:sz="0" w:space="0" w:color="auto"/>
        <w:left w:val="none" w:sz="0" w:space="0" w:color="auto"/>
        <w:bottom w:val="none" w:sz="0" w:space="0" w:color="auto"/>
        <w:right w:val="none" w:sz="0" w:space="0" w:color="auto"/>
      </w:divBdr>
    </w:div>
    <w:div w:id="317535043">
      <w:bodyDiv w:val="1"/>
      <w:marLeft w:val="0"/>
      <w:marRight w:val="0"/>
      <w:marTop w:val="0"/>
      <w:marBottom w:val="0"/>
      <w:divBdr>
        <w:top w:val="none" w:sz="0" w:space="0" w:color="auto"/>
        <w:left w:val="none" w:sz="0" w:space="0" w:color="auto"/>
        <w:bottom w:val="none" w:sz="0" w:space="0" w:color="auto"/>
        <w:right w:val="none" w:sz="0" w:space="0" w:color="auto"/>
      </w:divBdr>
    </w:div>
    <w:div w:id="622269924">
      <w:bodyDiv w:val="1"/>
      <w:marLeft w:val="0"/>
      <w:marRight w:val="0"/>
      <w:marTop w:val="0"/>
      <w:marBottom w:val="0"/>
      <w:divBdr>
        <w:top w:val="none" w:sz="0" w:space="0" w:color="auto"/>
        <w:left w:val="none" w:sz="0" w:space="0" w:color="auto"/>
        <w:bottom w:val="none" w:sz="0" w:space="0" w:color="auto"/>
        <w:right w:val="none" w:sz="0" w:space="0" w:color="auto"/>
      </w:divBdr>
    </w:div>
    <w:div w:id="1162235413">
      <w:bodyDiv w:val="1"/>
      <w:marLeft w:val="0"/>
      <w:marRight w:val="0"/>
      <w:marTop w:val="0"/>
      <w:marBottom w:val="0"/>
      <w:divBdr>
        <w:top w:val="none" w:sz="0" w:space="0" w:color="auto"/>
        <w:left w:val="none" w:sz="0" w:space="0" w:color="auto"/>
        <w:bottom w:val="none" w:sz="0" w:space="0" w:color="auto"/>
        <w:right w:val="none" w:sz="0" w:space="0" w:color="auto"/>
      </w:divBdr>
    </w:div>
    <w:div w:id="1409501586">
      <w:bodyDiv w:val="1"/>
      <w:marLeft w:val="0"/>
      <w:marRight w:val="0"/>
      <w:marTop w:val="0"/>
      <w:marBottom w:val="0"/>
      <w:divBdr>
        <w:top w:val="none" w:sz="0" w:space="0" w:color="auto"/>
        <w:left w:val="none" w:sz="0" w:space="0" w:color="auto"/>
        <w:bottom w:val="none" w:sz="0" w:space="0" w:color="auto"/>
        <w:right w:val="none" w:sz="0" w:space="0" w:color="auto"/>
      </w:divBdr>
    </w:div>
    <w:div w:id="164954928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ospect.org.uk/news/it-security-incid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42405-22FE-4C24-9C4B-F6C883807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2881</Words>
  <Characters>16425</Characters>
  <Application>Microsoft Office Word</Application>
  <DocSecurity>4</DocSecurity>
  <PresentationFormat/>
  <Lines>136</Lines>
  <Paragraphs>38</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Motion No.</vt:lpstr>
    </vt:vector>
  </TitlesOfParts>
  <Company>Prospect</Company>
  <LinksUpToDate>false</LinksUpToDate>
  <CharactersWithSpaces>19268</CharactersWithSpaces>
  <SharedDoc>false</SharedDoc>
  <HLinks>
    <vt:vector size="6" baseType="variant">
      <vt:variant>
        <vt:i4>3670070</vt:i4>
      </vt:variant>
      <vt:variant>
        <vt:i4>0</vt:i4>
      </vt:variant>
      <vt:variant>
        <vt:i4>0</vt:i4>
      </vt:variant>
      <vt:variant>
        <vt:i4>5</vt:i4>
      </vt:variant>
      <vt:variant>
        <vt:lpwstr>http://www.bailii.org/uk/cases/UKHL/1985/1.html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Motion No.</dc:title>
  <dc:subject/>
  <dc:creator>User</dc:creator>
  <cp:keywords/>
  <dc:description/>
  <cp:lastModifiedBy>Jane Byrne</cp:lastModifiedBy>
  <cp:revision>2</cp:revision>
  <cp:lastPrinted>2018-03-05T15:17:00Z</cp:lastPrinted>
  <dcterms:created xsi:type="dcterms:W3CDTF">2026-05-11T14:04:00Z</dcterms:created>
  <dcterms:modified xsi:type="dcterms:W3CDTF">2026-05-11T14:04:00Z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1033-10.2.0.5804</vt:lpwstr>
  </property>
</Properties>
</file>