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DEDF3" w14:textId="77777777" w:rsidR="00193849" w:rsidRDefault="00193849" w:rsidP="009D1B93">
      <w:pPr>
        <w:rPr>
          <w:noProof/>
        </w:rPr>
      </w:pPr>
    </w:p>
    <w:p w14:paraId="1AFE5B65" w14:textId="77777777" w:rsidR="00193849" w:rsidRDefault="00193849" w:rsidP="009D1B93"/>
    <w:p w14:paraId="2B04FC8C" w14:textId="77777777" w:rsidR="00193849" w:rsidRDefault="00193849" w:rsidP="009D1B93"/>
    <w:p w14:paraId="62DB33B9" w14:textId="77777777" w:rsidR="003E458B" w:rsidRDefault="003E458B" w:rsidP="0090150D">
      <w:pPr>
        <w:pStyle w:val="Heading2"/>
      </w:pPr>
    </w:p>
    <w:p w14:paraId="4AD44460" w14:textId="05320B6C" w:rsidR="00193849" w:rsidRPr="0090150D" w:rsidRDefault="004C29D9" w:rsidP="0090150D">
      <w:pPr>
        <w:pStyle w:val="Heading2"/>
      </w:pPr>
      <w:r>
        <w:t>Proposals for i</w:t>
      </w:r>
      <w:r w:rsidR="003E458B">
        <w:t xml:space="preserve">mproving outcomes for DC </w:t>
      </w:r>
      <w:proofErr w:type="gramStart"/>
      <w:r w:rsidR="003E458B">
        <w:t>members</w:t>
      </w:r>
      <w:proofErr w:type="gramEnd"/>
    </w:p>
    <w:p w14:paraId="2B43FAF1" w14:textId="76E84C50" w:rsidR="00A34C9A" w:rsidRDefault="003E458B" w:rsidP="00A74916">
      <w:r>
        <w:t xml:space="preserve">This note covers </w:t>
      </w:r>
      <w:r w:rsidR="00ED0255">
        <w:t>Prospect’s preferences</w:t>
      </w:r>
      <w:r>
        <w:t xml:space="preserve"> for improving pension outcomes for members of the defined contribution sections of the CNPP in the NDA’s group of companies.</w:t>
      </w:r>
    </w:p>
    <w:p w14:paraId="7E1FED6B" w14:textId="207CCE48" w:rsidR="004C29D9" w:rsidRDefault="004C29D9" w:rsidP="00A74916">
      <w:r>
        <w:t xml:space="preserve">This has been prepared in consultation with Prospect representatives from all the branches where members have access to the DC section of the CNPP. </w:t>
      </w:r>
    </w:p>
    <w:p w14:paraId="37388378" w14:textId="0E3BC58D" w:rsidR="00CE6C8E" w:rsidRPr="003E458B" w:rsidRDefault="00CE6C8E" w:rsidP="00CE6C8E">
      <w:r>
        <w:rPr>
          <w:b/>
          <w:bCs/>
        </w:rPr>
        <w:t>Background</w:t>
      </w:r>
    </w:p>
    <w:p w14:paraId="471652AC" w14:textId="10BF27DD" w:rsidR="004C29D9" w:rsidRDefault="004C29D9" w:rsidP="003E458B">
      <w:r>
        <w:t>The 2006 agreement between the NDA and trade unions, that led to the establishment of the DC section of the CNPP, included a commitment to review employer contribution levels.</w:t>
      </w:r>
    </w:p>
    <w:p w14:paraId="54D54725" w14:textId="77777777" w:rsidR="004C29D9" w:rsidRDefault="004C29D9" w:rsidP="003E458B">
      <w:r>
        <w:t>A further commitment to review outcomes for DC members was given by the NDA as part of the process that led to the agreement to reform the final salary schemes in 2017.</w:t>
      </w:r>
    </w:p>
    <w:p w14:paraId="027B6149" w14:textId="77777777" w:rsidR="00F74C2E" w:rsidRDefault="00F74C2E" w:rsidP="003E458B">
      <w:r>
        <w:t>It has taken some time to make progress on these commitments, but we appreciate the opportunity to discuss these issues at the forthcoming NDA Pension Forum.</w:t>
      </w:r>
    </w:p>
    <w:p w14:paraId="2721692D" w14:textId="77777777" w:rsidR="00F74C2E" w:rsidRDefault="00F74C2E" w:rsidP="003E458B">
      <w:r>
        <w:t>Prospect has previously written to the NDA to set out the reasons that we believe that improvements to pension outcomes for DC members are necessary. These are:</w:t>
      </w:r>
    </w:p>
    <w:p w14:paraId="1F63BB3A" w14:textId="390F71E8" w:rsidR="00F74C2E" w:rsidRDefault="00F74C2E" w:rsidP="00F74C2E">
      <w:pPr>
        <w:pStyle w:val="ListParagraph"/>
        <w:numPr>
          <w:ilvl w:val="0"/>
          <w:numId w:val="40"/>
        </w:numPr>
      </w:pPr>
      <w:r>
        <w:t>The DC contribution structure was initially set by reference to the cost of the main DB scheme that it replaced</w:t>
      </w:r>
      <w:r w:rsidR="00E5139A">
        <w:t xml:space="preserve"> (the UKAEA’s CPS)</w:t>
      </w:r>
      <w:r>
        <w:t>. Since then, the cost of th</w:t>
      </w:r>
      <w:r w:rsidR="00E5139A">
        <w:t>at</w:t>
      </w:r>
      <w:r>
        <w:t xml:space="preserve"> scheme has increased significantly. The DC scheme no longer gives members a reasonable expectation of retiring with a similar level of pension, the growing gap between the two tiers of pension provision has become a chasm.</w:t>
      </w:r>
    </w:p>
    <w:p w14:paraId="1B878726" w14:textId="7394E7DC" w:rsidR="00F74C2E" w:rsidRDefault="00F74C2E" w:rsidP="00F74C2E">
      <w:pPr>
        <w:pStyle w:val="ListParagraph"/>
        <w:numPr>
          <w:ilvl w:val="0"/>
          <w:numId w:val="40"/>
        </w:numPr>
      </w:pPr>
      <w:r>
        <w:t xml:space="preserve">Members contributing at the lowest contribution tiers </w:t>
      </w:r>
      <w:r w:rsidR="00E5139A">
        <w:t xml:space="preserve">in the DC scheme </w:t>
      </w:r>
      <w:r>
        <w:t>have very little chance of building up sufficient pension pots to be able to retire at a reasonable age with a decent level of income. Younger and female members</w:t>
      </w:r>
      <w:r w:rsidR="00E5139A">
        <w:t xml:space="preserve"> are</w:t>
      </w:r>
      <w:r>
        <w:t xml:space="preserve"> disproportionately represented at those tiers.</w:t>
      </w:r>
    </w:p>
    <w:p w14:paraId="76E6D606" w14:textId="40A96278" w:rsidR="00F74C2E" w:rsidRDefault="00F74C2E" w:rsidP="00F74C2E">
      <w:pPr>
        <w:pStyle w:val="ListParagraph"/>
        <w:numPr>
          <w:ilvl w:val="0"/>
          <w:numId w:val="40"/>
        </w:numPr>
      </w:pPr>
      <w:r>
        <w:t xml:space="preserve">The government has recognised the impact of these issues in relation to its own DC scheme and has already significantly increased contribution levels </w:t>
      </w:r>
      <w:r w:rsidR="00E5139A">
        <w:t>for those members</w:t>
      </w:r>
      <w:r>
        <w:t xml:space="preserve"> (and is planning a further review that is likely to result in another significant increase</w:t>
      </w:r>
      <w:r w:rsidR="00E5139A">
        <w:t xml:space="preserve"> relatively soon</w:t>
      </w:r>
      <w:r>
        <w:t>).</w:t>
      </w:r>
    </w:p>
    <w:p w14:paraId="32025B5F" w14:textId="3D337ABF" w:rsidR="00461FB6" w:rsidRDefault="00461FB6" w:rsidP="00F74C2E">
      <w:pPr>
        <w:pStyle w:val="ListParagraph"/>
        <w:numPr>
          <w:ilvl w:val="0"/>
          <w:numId w:val="40"/>
        </w:numPr>
      </w:pPr>
      <w:r>
        <w:t>The original contribution structure allowed for the more generous additional state pension entitlement that applied at the time. DC members have not been entitled to this benefit since April 2016</w:t>
      </w:r>
      <w:r w:rsidR="00E5139A">
        <w:t>,</w:t>
      </w:r>
      <w:r>
        <w:t xml:space="preserve"> and the relevant adjustment to the contribution structure is no longer appropriate.</w:t>
      </w:r>
    </w:p>
    <w:p w14:paraId="04EF8702" w14:textId="77777777" w:rsidR="00461FB6" w:rsidRDefault="00461FB6" w:rsidP="00461FB6">
      <w:r>
        <w:t>We recognise that there are factors resulting in the cost of the DC section of the CNPP being higher than anticipated. For example, more members are contributing at the maximum matching level than originally expected.</w:t>
      </w:r>
    </w:p>
    <w:p w14:paraId="5C409BB7" w14:textId="71896A98" w:rsidR="00B45760" w:rsidRDefault="00461FB6" w:rsidP="00461FB6">
      <w:r>
        <w:t xml:space="preserve">However, </w:t>
      </w:r>
      <w:r w:rsidR="00B45760">
        <w:t xml:space="preserve">on balance, we believe that the case for improving pension provision for this group </w:t>
      </w:r>
      <w:r w:rsidR="00E5139A">
        <w:t xml:space="preserve">of members </w:t>
      </w:r>
      <w:r w:rsidR="00B45760">
        <w:t>is clear.</w:t>
      </w:r>
    </w:p>
    <w:p w14:paraId="75A515D5" w14:textId="77777777" w:rsidR="00B45760" w:rsidRDefault="00B45760" w:rsidP="00461FB6">
      <w:r>
        <w:lastRenderedPageBreak/>
        <w:t>We appreciate the NDA’s position that Treasury will require a cost / benefit analysis to approve any significant improvements to the pension arrangements for these workers. We hope to be able to work with the NDA and employers on making such a case for any agreed reforms that emerge from these discussions.</w:t>
      </w:r>
    </w:p>
    <w:p w14:paraId="43C56A30" w14:textId="77777777" w:rsidR="00B45760" w:rsidRDefault="00B45760" w:rsidP="00461FB6">
      <w:r>
        <w:rPr>
          <w:b/>
          <w:bCs/>
        </w:rPr>
        <w:t>Access to a DB scheme</w:t>
      </w:r>
    </w:p>
    <w:p w14:paraId="39D0CBF5" w14:textId="70AC3FA2" w:rsidR="004A7C15" w:rsidRDefault="004A7C15" w:rsidP="00461FB6">
      <w:r>
        <w:t>During the negotiations on reform of the final salary pension schemes in the NDA estate, the trade unions argued for DC members to be given access to the</w:t>
      </w:r>
      <w:r w:rsidR="00E5139A">
        <w:t>se schemes once they had been</w:t>
      </w:r>
      <w:r>
        <w:t xml:space="preserve"> reformed.</w:t>
      </w:r>
    </w:p>
    <w:p w14:paraId="660442B7" w14:textId="07194D04" w:rsidR="004A7C15" w:rsidRDefault="004A7C15" w:rsidP="00461FB6">
      <w:r>
        <w:t>This proposal was rejected. The main stumbling block was the higher contribution rates that would have to be paid into these schemes on behalf of DC members.</w:t>
      </w:r>
    </w:p>
    <w:p w14:paraId="758C83A9" w14:textId="354467B8" w:rsidR="00013310" w:rsidRDefault="00013310" w:rsidP="00013310">
      <w:pPr>
        <w:pStyle w:val="ListParagraph"/>
        <w:numPr>
          <w:ilvl w:val="0"/>
          <w:numId w:val="40"/>
        </w:numPr>
      </w:pPr>
      <w:r>
        <w:t xml:space="preserve">Ability to offer Alpha </w:t>
      </w:r>
      <w:proofErr w:type="gramStart"/>
      <w:r>
        <w:t>now</w:t>
      </w:r>
      <w:proofErr w:type="gramEnd"/>
    </w:p>
    <w:p w14:paraId="33E16E1C" w14:textId="2ED54EE7" w:rsidR="00883CBA" w:rsidRDefault="004A7C15" w:rsidP="00461FB6">
      <w:r>
        <w:t>There has been a material change in circumstances since then.</w:t>
      </w:r>
      <w:r w:rsidR="00AE02D7">
        <w:t xml:space="preserve"> The main employers are now all wholly owned subsidiaries of the NDA. Having returned to the public sector, </w:t>
      </w:r>
      <w:r w:rsidR="00883CBA">
        <w:t>these companies can now resume offering public sector pension scheme membership to their employees.</w:t>
      </w:r>
    </w:p>
    <w:p w14:paraId="188A7154" w14:textId="77777777" w:rsidR="00883CBA" w:rsidRDefault="00883CBA" w:rsidP="00461FB6">
      <w:r>
        <w:t>The most relevant public service pension scheme for employees of these companies would seem to be the Alpha scheme (which is managed by the Cabinet Office and is also expected to subsume the remaining members of the UKAEA’s pension schemes in due course).</w:t>
      </w:r>
    </w:p>
    <w:p w14:paraId="2A38370C" w14:textId="77777777" w:rsidR="00883CBA" w:rsidRDefault="00883CBA" w:rsidP="00461FB6">
      <w:r>
        <w:t>These companies are eligible to be added to the list of employers that can offer membership of the Alpha scheme to employees. This would just require a simple statutory instrument to be laid before Parliament (under the negative procedure).</w:t>
      </w:r>
    </w:p>
    <w:p w14:paraId="26900F44" w14:textId="77777777" w:rsidR="004106EB" w:rsidRDefault="004106EB" w:rsidP="00461FB6">
      <w:r>
        <w:t>Access to an unfunded public sector pension scheme would completely change the calculations about the sustainability of offering DB provision to this group of workers.</w:t>
      </w:r>
    </w:p>
    <w:p w14:paraId="0952CFF7" w14:textId="7C6ED4BE" w:rsidR="00013310" w:rsidRDefault="00013310" w:rsidP="00013310">
      <w:pPr>
        <w:pStyle w:val="ListParagraph"/>
        <w:numPr>
          <w:ilvl w:val="0"/>
          <w:numId w:val="40"/>
        </w:numPr>
      </w:pPr>
      <w:r>
        <w:t>Financial impact of offering Alpha (spending review period V long-term)</w:t>
      </w:r>
    </w:p>
    <w:p w14:paraId="23A131A1" w14:textId="11DD209F" w:rsidR="00013310" w:rsidRDefault="00A70578" w:rsidP="00013310">
      <w:r>
        <w:t>T</w:t>
      </w:r>
      <w:r w:rsidRPr="00A70578">
        <w:t>here is a significant difference between the employer contribution in respect of Alpha members (</w:t>
      </w:r>
      <w:r>
        <w:t xml:space="preserve">currently </w:t>
      </w:r>
      <w:r w:rsidRPr="00A70578">
        <w:t>an average of 27.3% of pay</w:t>
      </w:r>
      <w:r>
        <w:t>)</w:t>
      </w:r>
      <w:r w:rsidRPr="00A70578">
        <w:t xml:space="preserve"> and the average employer contribution rate on behalf of DC members</w:t>
      </w:r>
      <w:r>
        <w:t xml:space="preserve"> (</w:t>
      </w:r>
      <w:r w:rsidR="004106EB">
        <w:t>a weighted average of the different contribution rates from 6% to 13.5%</w:t>
      </w:r>
      <w:r>
        <w:t>).</w:t>
      </w:r>
    </w:p>
    <w:p w14:paraId="21A05D39" w14:textId="347FF6F1" w:rsidR="00A60963" w:rsidRDefault="004106EB" w:rsidP="00E16767">
      <w:r>
        <w:t>At first glance, this would appear to mean that it would be prohibitively expensive for employers to offer workers access to the Alpha scheme instead of the DC sections of the CNPP.</w:t>
      </w:r>
    </w:p>
    <w:p w14:paraId="2CCC0824" w14:textId="7802F397" w:rsidR="00A60963" w:rsidRDefault="00A60963" w:rsidP="00E16767">
      <w:r>
        <w:t>However, Alpha operates very differently from private sector DB schemes</w:t>
      </w:r>
      <w:r w:rsidR="004106EB">
        <w:t xml:space="preserve"> (and DC schemes)</w:t>
      </w:r>
      <w:r>
        <w:t xml:space="preserve">. It is unfunded. </w:t>
      </w:r>
    </w:p>
    <w:p w14:paraId="586B9B35" w14:textId="6F4ACA71" w:rsidR="00A60963" w:rsidRDefault="00A60963" w:rsidP="00E16767">
      <w:r>
        <w:t>I</w:t>
      </w:r>
      <w:r w:rsidRPr="00A60963">
        <w:t xml:space="preserve">t is important to look at the impact </w:t>
      </w:r>
      <w:r>
        <w:t xml:space="preserve">of such a move </w:t>
      </w:r>
      <w:r w:rsidRPr="00A60963">
        <w:t>on overall government finances</w:t>
      </w:r>
      <w:r w:rsidR="004106EB">
        <w:t xml:space="preserve"> (</w:t>
      </w:r>
      <w:proofErr w:type="spellStart"/>
      <w:proofErr w:type="gramStart"/>
      <w:r w:rsidR="004106EB">
        <w:t>ie</w:t>
      </w:r>
      <w:proofErr w:type="spellEnd"/>
      <w:proofErr w:type="gramEnd"/>
      <w:r w:rsidR="004106EB">
        <w:t xml:space="preserve"> the net impact on taxpayers)</w:t>
      </w:r>
      <w:r w:rsidRPr="00A60963">
        <w:t>, and not just through the narrow prism of NDA’s</w:t>
      </w:r>
      <w:r w:rsidR="004106EB">
        <w:t xml:space="preserve"> </w:t>
      </w:r>
      <w:r w:rsidR="00E5139A">
        <w:t>funding</w:t>
      </w:r>
      <w:r w:rsidR="004106EB">
        <w:t xml:space="preserve"> settlement</w:t>
      </w:r>
      <w:r w:rsidRPr="00A60963">
        <w:t>.</w:t>
      </w:r>
    </w:p>
    <w:p w14:paraId="79489FAA" w14:textId="307EC111" w:rsidR="00A60963" w:rsidRDefault="00A60963" w:rsidP="00E16767">
      <w:r>
        <w:t xml:space="preserve">From </w:t>
      </w:r>
      <w:r w:rsidR="004106EB">
        <w:t xml:space="preserve">the point of view of taxpayers (and of Treasury), </w:t>
      </w:r>
      <w:r w:rsidRPr="00A60963">
        <w:t xml:space="preserve">providing access to Alpha to </w:t>
      </w:r>
      <w:r w:rsidR="004106EB">
        <w:t>DC members in the NDA estate</w:t>
      </w:r>
      <w:r w:rsidRPr="00A60963">
        <w:t xml:space="preserve"> would be cashflow positive</w:t>
      </w:r>
      <w:r w:rsidR="004106EB">
        <w:t xml:space="preserve"> over the period of the spending review</w:t>
      </w:r>
      <w:r w:rsidRPr="00A60963">
        <w:t>.</w:t>
      </w:r>
    </w:p>
    <w:p w14:paraId="679CB667" w14:textId="1AAE07B9" w:rsidR="00A60963" w:rsidRDefault="00A60963" w:rsidP="00E16767">
      <w:r w:rsidRPr="00A60963">
        <w:t>This is because Treasury would immediately start to receive member contributions (an average of 5.6% of pay) as well as the employer contributions (</w:t>
      </w:r>
      <w:r w:rsidR="004106EB">
        <w:t>currently an average of about</w:t>
      </w:r>
      <w:r w:rsidRPr="00A60963">
        <w:t xml:space="preserve"> 27.3% of pay).</w:t>
      </w:r>
    </w:p>
    <w:p w14:paraId="7C8F99FE" w14:textId="25B881BF" w:rsidR="00A60963" w:rsidRDefault="00A60963" w:rsidP="00E16767">
      <w:r w:rsidRPr="00A60963">
        <w:lastRenderedPageBreak/>
        <w:t xml:space="preserve">The new Alpha liabilities that </w:t>
      </w:r>
      <w:r w:rsidR="004106EB">
        <w:t>these</w:t>
      </w:r>
      <w:r w:rsidRPr="00A60963">
        <w:t xml:space="preserve"> members would start to build up would not be payable for </w:t>
      </w:r>
      <w:r w:rsidR="004106EB">
        <w:t xml:space="preserve">many </w:t>
      </w:r>
      <w:r w:rsidRPr="00A60963">
        <w:t>decades. There would only be a trivial cost over the spending review period.</w:t>
      </w:r>
    </w:p>
    <w:p w14:paraId="7DBFAF9B" w14:textId="3D65F0A2" w:rsidR="004106EB" w:rsidRDefault="00A60963" w:rsidP="004106EB">
      <w:r>
        <w:t>Of course</w:t>
      </w:r>
      <w:r w:rsidR="004106EB">
        <w:t>, the upfront additional cost to e</w:t>
      </w:r>
      <w:r>
        <w:t>mployers</w:t>
      </w:r>
      <w:r w:rsidRPr="00A60963">
        <w:t xml:space="preserve"> would </w:t>
      </w:r>
      <w:r w:rsidR="00B6148A">
        <w:t xml:space="preserve">be </w:t>
      </w:r>
      <w:r w:rsidR="004106EB">
        <w:t xml:space="preserve">over </w:t>
      </w:r>
      <w:r w:rsidRPr="00A60963">
        <w:t xml:space="preserve">15% of pay. </w:t>
      </w:r>
    </w:p>
    <w:p w14:paraId="179CFDCB" w14:textId="47D56C23" w:rsidR="00B6148A" w:rsidRDefault="00A60963" w:rsidP="004106EB">
      <w:r w:rsidRPr="00A60963">
        <w:t>But that</w:t>
      </w:r>
      <w:r w:rsidR="004106EB">
        <w:t xml:space="preserve"> </w:t>
      </w:r>
      <w:r w:rsidR="00B6148A">
        <w:t xml:space="preserve">extra </w:t>
      </w:r>
      <w:r w:rsidR="004106EB">
        <w:t>money</w:t>
      </w:r>
      <w:r w:rsidRPr="00A60963">
        <w:t xml:space="preserve"> </w:t>
      </w:r>
      <w:r>
        <w:t>would</w:t>
      </w:r>
      <w:r w:rsidRPr="00A60963">
        <w:t xml:space="preserve"> </w:t>
      </w:r>
      <w:r w:rsidR="004106EB">
        <w:t>just be paid to</w:t>
      </w:r>
      <w:r w:rsidRPr="00A60963">
        <w:t xml:space="preserve"> Treasury (along with the current employer contribution </w:t>
      </w:r>
      <w:r w:rsidR="004106EB">
        <w:t>to DC members</w:t>
      </w:r>
      <w:r w:rsidR="00B6148A">
        <w:t>,</w:t>
      </w:r>
      <w:r w:rsidRPr="00A60963">
        <w:t xml:space="preserve"> and the member contribution of c.5.6% of pay). </w:t>
      </w:r>
    </w:p>
    <w:p w14:paraId="6C37CE1A" w14:textId="418512AB" w:rsidR="00B6148A" w:rsidRDefault="00A60963" w:rsidP="004106EB">
      <w:r w:rsidRPr="00A60963">
        <w:t xml:space="preserve">If Treasury committed to just giving the increase in the employer contribution costs back to the NDA for the spending review period, then </w:t>
      </w:r>
      <w:r>
        <w:t>employers</w:t>
      </w:r>
      <w:r w:rsidR="00B6148A">
        <w:t xml:space="preserve"> could be reimbursed and </w:t>
      </w:r>
      <w:r w:rsidRPr="00A60963">
        <w:t>would be no worse o</w:t>
      </w:r>
      <w:r w:rsidR="00B6148A">
        <w:t>f</w:t>
      </w:r>
      <w:r w:rsidR="00AA07AC">
        <w:t>f</w:t>
      </w:r>
      <w:r w:rsidR="00B6148A">
        <w:t>.</w:t>
      </w:r>
    </w:p>
    <w:p w14:paraId="6060783D" w14:textId="23E470CA" w:rsidR="00A60963" w:rsidRPr="00A60963" w:rsidRDefault="00A60963" w:rsidP="004106EB">
      <w:r w:rsidRPr="00A60963">
        <w:t xml:space="preserve">Treasury would </w:t>
      </w:r>
      <w:proofErr w:type="gramStart"/>
      <w:r w:rsidR="00B6148A">
        <w:t>actually receive</w:t>
      </w:r>
      <w:proofErr w:type="gramEnd"/>
      <w:r w:rsidR="00B6148A">
        <w:t xml:space="preserve"> a significant benefit (which the NDA could potentially seek to share over the spending review period</w:t>
      </w:r>
      <w:r w:rsidR="00AA07AC">
        <w:t>,</w:t>
      </w:r>
      <w:r w:rsidR="00B6148A">
        <w:t xml:space="preserve"> in the form of </w:t>
      </w:r>
      <w:r w:rsidR="00AA07AC">
        <w:t xml:space="preserve">additional </w:t>
      </w:r>
      <w:r w:rsidR="00B6148A">
        <w:t>funding</w:t>
      </w:r>
      <w:r w:rsidR="00AA07AC">
        <w:t xml:space="preserve"> for meeting</w:t>
      </w:r>
      <w:r w:rsidR="00B6148A">
        <w:t xml:space="preserve"> objectives). </w:t>
      </w:r>
    </w:p>
    <w:p w14:paraId="0BF41963" w14:textId="2128F592" w:rsidR="00D94935" w:rsidRDefault="00A60963" w:rsidP="00B6148A">
      <w:r w:rsidRPr="00A60963">
        <w:t>Of course, this would result in higher pension costs in the long run. But in the long run the cost of the civil service pension scheme is projected to fall (when expressed as a percentage of GDP). So, this change would likely just result in the reduction in future costs for the scheme being a little bit less than currently projected.</w:t>
      </w:r>
      <w:r w:rsidR="00B6148A">
        <w:t xml:space="preserve"> It is for Treasury to say whether they view these long terms impacts as more material than the significant short-term effects.</w:t>
      </w:r>
    </w:p>
    <w:p w14:paraId="526E4E33" w14:textId="0CC6E797" w:rsidR="00013310" w:rsidRDefault="00013310" w:rsidP="00013310">
      <w:pPr>
        <w:pStyle w:val="ListParagraph"/>
        <w:numPr>
          <w:ilvl w:val="0"/>
          <w:numId w:val="40"/>
        </w:numPr>
      </w:pPr>
      <w:r>
        <w:t>Appropriateness of Alpha (vs individual DC accounts)</w:t>
      </w:r>
    </w:p>
    <w:p w14:paraId="2C8EB9A6" w14:textId="45A63F90" w:rsidR="00B6148A" w:rsidRDefault="009E6C09" w:rsidP="00B6148A">
      <w:r>
        <w:t>It is worth returning to what Lord Hutton said about pension provision for public sector workers</w:t>
      </w:r>
      <w:r w:rsidR="00E5139A">
        <w:t xml:space="preserve"> in his interim report</w:t>
      </w:r>
      <w:r>
        <w:t>:</w:t>
      </w:r>
    </w:p>
    <w:p w14:paraId="527B1DA8" w14:textId="3CEA6841" w:rsidR="009E6C09" w:rsidRDefault="009E6C09" w:rsidP="00B6148A">
      <w:r>
        <w:t>“</w:t>
      </w:r>
      <w:r w:rsidRPr="009E6C09">
        <w:t xml:space="preserve">This range of issues cannot be tackled through provision of final salary defined benefit schemes. But neither would it be feasible or desirable to move towards a funded, individual account DC model for all public service employees. Apart from the major financing burden on the current generation of taxpayers, who would have to pay for both employer contributions and current benefit payments, this ignores the ability of Government as a large employer to pool and manage certain types of risk better than individuals. In addition, if lower paid employees were fully exposed to investment risk, this would increase uncertainty of income in retirement, which is difficult </w:t>
      </w:r>
      <w:proofErr w:type="gramStart"/>
      <w:r w:rsidRPr="009E6C09">
        <w:t>in particular for</w:t>
      </w:r>
      <w:proofErr w:type="gramEnd"/>
      <w:r w:rsidRPr="009E6C09">
        <w:t xml:space="preserve"> the low paid to manage. This is not desirable or necessary. Instead, the public service should aim to identify an appropriate way of sharing the uncertainties and risks inherent in pension provision between both the employee and employer.</w:t>
      </w:r>
      <w:r>
        <w:t>”</w:t>
      </w:r>
    </w:p>
    <w:p w14:paraId="4E3FCE5D" w14:textId="77777777" w:rsidR="00013310" w:rsidRDefault="009E6C09" w:rsidP="00B6148A">
      <w:r>
        <w:t xml:space="preserve">Since </w:t>
      </w:r>
      <w:r w:rsidR="00013310">
        <w:t>his</w:t>
      </w:r>
      <w:r>
        <w:t xml:space="preserve"> interim report was published, government has </w:t>
      </w:r>
      <w:r w:rsidR="00013310">
        <w:t>come up with a form of defined benefit pension provision (and cost cap mechanism) that delivers on Hutton’s recommendations, while dealing with the challenges he outlined.</w:t>
      </w:r>
    </w:p>
    <w:p w14:paraId="4023D3F0" w14:textId="77777777" w:rsidR="00013310" w:rsidRDefault="00013310" w:rsidP="00B6148A">
      <w:r>
        <w:t>It would be far more appropriate (for the reasons Hutton outlines above, and in more detail in the rest of his interim report) to offer these reformed pension arrangements to all public sector workers in the NDA estate as well.</w:t>
      </w:r>
    </w:p>
    <w:p w14:paraId="3D0B3289" w14:textId="771345C5" w:rsidR="006A6353" w:rsidRDefault="006A6353" w:rsidP="006A6353">
      <w:pPr>
        <w:pStyle w:val="ListParagraph"/>
        <w:numPr>
          <w:ilvl w:val="0"/>
          <w:numId w:val="40"/>
        </w:numPr>
      </w:pPr>
      <w:r>
        <w:t>Resolving two-tier workforce</w:t>
      </w:r>
    </w:p>
    <w:p w14:paraId="7E9578ED" w14:textId="5CE76D9B" w:rsidR="006A6353" w:rsidRDefault="006A6353" w:rsidP="006A6353">
      <w:r>
        <w:t>This is significant discontent across the NDA estate about the two-tier structure of the workforce.</w:t>
      </w:r>
    </w:p>
    <w:p w14:paraId="32BE458C" w14:textId="61E47AB6" w:rsidR="006A6353" w:rsidRDefault="006A6353" w:rsidP="006A6353">
      <w:r>
        <w:t>Over time</w:t>
      </w:r>
      <w:r w:rsidR="00FA63C7">
        <w:t>,</w:t>
      </w:r>
      <w:r>
        <w:t xml:space="preserve"> the perceived difference in the level of benefits of those who are entitled to membership of a DB pension scheme, and those who are not, has grown.</w:t>
      </w:r>
    </w:p>
    <w:p w14:paraId="79D4D31C" w14:textId="7F022F90" w:rsidR="006A6353" w:rsidRDefault="006A6353" w:rsidP="006A6353">
      <w:r>
        <w:t xml:space="preserve">Alpha does not provide the same level of benefits as the reformed DB schemes in the NDA estate. But the fact that all workers would have access to DB schemes would </w:t>
      </w:r>
      <w:r w:rsidR="00FA63C7">
        <w:t xml:space="preserve">effectively </w:t>
      </w:r>
      <w:r>
        <w:t>resolve this issue.</w:t>
      </w:r>
    </w:p>
    <w:p w14:paraId="33F6DA1D" w14:textId="745FF30B" w:rsidR="006A6353" w:rsidRDefault="00F07BE3" w:rsidP="006A6353">
      <w:r>
        <w:lastRenderedPageBreak/>
        <w:t>Prospect representatives reported significant strength of feeling about this issue amongst members across all sites.</w:t>
      </w:r>
    </w:p>
    <w:p w14:paraId="3FBC736C" w14:textId="77777777" w:rsidR="006A6353" w:rsidRDefault="006A6353" w:rsidP="006A6353">
      <w:pPr>
        <w:pStyle w:val="ListParagraph"/>
        <w:numPr>
          <w:ilvl w:val="0"/>
          <w:numId w:val="40"/>
        </w:numPr>
      </w:pPr>
      <w:r>
        <w:t>Recruitment and retention</w:t>
      </w:r>
    </w:p>
    <w:p w14:paraId="2E251896" w14:textId="77777777" w:rsidR="006A6353" w:rsidRDefault="006A6353" w:rsidP="006A6353">
      <w:r>
        <w:t>Access to a DB scheme would be a unique selling point that would attract workers to the NDA’s group of companies.</w:t>
      </w:r>
    </w:p>
    <w:p w14:paraId="71C6B40F" w14:textId="0416F044" w:rsidR="00FA63C7" w:rsidRDefault="006A6353" w:rsidP="006A6353">
      <w:r>
        <w:t>The benefit would be disproportionate to the actual difference in pension provision that these workers would enjoy.</w:t>
      </w:r>
    </w:p>
    <w:p w14:paraId="78911A50" w14:textId="15E150C8" w:rsidR="00FA63C7" w:rsidRDefault="00FA63C7" w:rsidP="006A6353">
      <w:r>
        <w:t>Employers are having difficulty recruiting. There are gaps right across the workforce that are a burden on the remaining employees. A significant reason for this is the inability to meet pay expectations and having nothing else to offer instead. Being able to say to potential recruits that the pay may not match</w:t>
      </w:r>
      <w:r w:rsidR="00E5139A">
        <w:t>,</w:t>
      </w:r>
      <w:r>
        <w:t xml:space="preserve"> but that pension offer is much better than is available elsewhere could be game-changing.</w:t>
      </w:r>
    </w:p>
    <w:p w14:paraId="1E0B07E9" w14:textId="77777777" w:rsidR="00FA63C7" w:rsidRDefault="00FA63C7" w:rsidP="00FA63C7">
      <w:pPr>
        <w:pStyle w:val="ListParagraph"/>
        <w:numPr>
          <w:ilvl w:val="0"/>
          <w:numId w:val="40"/>
        </w:numPr>
      </w:pPr>
      <w:r>
        <w:t>Employee welfare</w:t>
      </w:r>
    </w:p>
    <w:p w14:paraId="4C636E50" w14:textId="3E67A34F" w:rsidR="00FE5CFF" w:rsidRDefault="00FA63C7" w:rsidP="00FA63C7">
      <w:r>
        <w:t xml:space="preserve">We all want </w:t>
      </w:r>
      <w:r w:rsidR="00FE5CFF">
        <w:t xml:space="preserve">for </w:t>
      </w:r>
      <w:r>
        <w:t xml:space="preserve">the workers who are delivering </w:t>
      </w:r>
      <w:r w:rsidR="00FE5CFF">
        <w:t xml:space="preserve">nuclear decommissioning to be able to retire at a reasonable age with a decent standard of living. </w:t>
      </w:r>
    </w:p>
    <w:p w14:paraId="40F611A6" w14:textId="3AF1530B" w:rsidR="00FE5CFF" w:rsidRDefault="00FE5CFF" w:rsidP="00FA63C7">
      <w:r>
        <w:t>The current pension arrangements for DC members will not provide this for a large proportion of that population.</w:t>
      </w:r>
    </w:p>
    <w:p w14:paraId="5755E2D9" w14:textId="14EC9200" w:rsidR="00FE5CFF" w:rsidRDefault="00FE5CFF" w:rsidP="00FA63C7">
      <w:r>
        <w:t>The consequences will be for thousands of employees to be working for longer than is reasonable (with all the risks that entails), or to have less comfortable retirements than they should have.</w:t>
      </w:r>
    </w:p>
    <w:p w14:paraId="4345E173" w14:textId="77777777" w:rsidR="00874D2E" w:rsidRDefault="00FE5CFF" w:rsidP="00FA63C7">
      <w:r>
        <w:t>The Alpha scheme provides an opportunity to resolve these issues and to ensure that the future welfare of workers across the NDA’s group of companies is protected.</w:t>
      </w:r>
    </w:p>
    <w:p w14:paraId="09F0F6AC" w14:textId="77777777" w:rsidR="00874D2E" w:rsidRDefault="00874D2E" w:rsidP="00874D2E">
      <w:pPr>
        <w:pStyle w:val="ListParagraph"/>
        <w:numPr>
          <w:ilvl w:val="0"/>
          <w:numId w:val="40"/>
        </w:numPr>
      </w:pPr>
      <w:r>
        <w:t>NDA’s views</w:t>
      </w:r>
    </w:p>
    <w:p w14:paraId="5193A43B" w14:textId="23DF63D9" w:rsidR="00874D2E" w:rsidRDefault="00874D2E" w:rsidP="00874D2E">
      <w:r>
        <w:t>It is important for us to understand whether the NDA believes that access to Alpha would be a more satisfactory outcome for workers currently in the DC section of the CNPP (if that could be achieved).</w:t>
      </w:r>
    </w:p>
    <w:p w14:paraId="47209BDB" w14:textId="15234692" w:rsidR="009E6C09" w:rsidRDefault="00874D2E" w:rsidP="00874D2E">
      <w:r>
        <w:t xml:space="preserve">If so, we would like to work with the NDA on presenting the strongest possible case for giving access to this pension scheme to this group of workers to Treasury as part of the Spending Review process.  </w:t>
      </w:r>
      <w:r w:rsidR="00FE5CFF">
        <w:t xml:space="preserve">    </w:t>
      </w:r>
      <w:r w:rsidR="00FA63C7">
        <w:t xml:space="preserve"> </w:t>
      </w:r>
      <w:r w:rsidR="00F07BE3">
        <w:t xml:space="preserve"> </w:t>
      </w:r>
      <w:r w:rsidR="006A6353">
        <w:t xml:space="preserve"> </w:t>
      </w:r>
      <w:r w:rsidR="00013310">
        <w:t xml:space="preserve">  </w:t>
      </w:r>
    </w:p>
    <w:p w14:paraId="7D0450F8" w14:textId="30CFA899" w:rsidR="00512EB5" w:rsidRDefault="00A60963" w:rsidP="00E16767">
      <w:r>
        <w:rPr>
          <w:b/>
          <w:bCs/>
        </w:rPr>
        <w:t>Improving the DC scheme</w:t>
      </w:r>
    </w:p>
    <w:p w14:paraId="216D7012" w14:textId="64438FAE" w:rsidR="00874D2E" w:rsidRDefault="00874D2E" w:rsidP="00E16767">
      <w:r>
        <w:t xml:space="preserve">For the reasons </w:t>
      </w:r>
      <w:r w:rsidR="001D7F2A">
        <w:t>given</w:t>
      </w:r>
      <w:r>
        <w:t xml:space="preserve"> above, we strongly believe that providing access to Alpha</w:t>
      </w:r>
      <w:r w:rsidR="001D7F2A">
        <w:t xml:space="preserve"> is the best possible outcome from the current review of pension arrangements for DC members.</w:t>
      </w:r>
    </w:p>
    <w:p w14:paraId="0DED3722" w14:textId="688F75EA" w:rsidR="001D7F2A" w:rsidRDefault="001D7F2A" w:rsidP="00E16767">
      <w:r>
        <w:t>But we recognise that this outcome is subject to approval from others (such as Treasury and the Cabinet Office).</w:t>
      </w:r>
    </w:p>
    <w:p w14:paraId="01BA20BE" w14:textId="77777777" w:rsidR="001D7F2A" w:rsidRDefault="001D7F2A" w:rsidP="00E16767">
      <w:r>
        <w:t>There are limited opportunities for the trade unions to discuss improving retirement outcomes for members of the DC section of the CNPP, and it is possible that there may not be a practical opportunity to address this until the time of the subsequent spending review.</w:t>
      </w:r>
    </w:p>
    <w:p w14:paraId="1ECA50A2" w14:textId="0835CD15" w:rsidR="007510EB" w:rsidRDefault="007510EB" w:rsidP="00E16767">
      <w:r>
        <w:t xml:space="preserve">So, Prospect would like to maintain a dialogue about the improvements that could be made to the DC section of the CNPP </w:t>
      </w:r>
      <w:proofErr w:type="gramStart"/>
      <w:r>
        <w:t>in the event that</w:t>
      </w:r>
      <w:proofErr w:type="gramEnd"/>
      <w:r>
        <w:t xml:space="preserve"> access to Alpha </w:t>
      </w:r>
      <w:r w:rsidR="000E36A4">
        <w:t>i</w:t>
      </w:r>
      <w:r>
        <w:t>s not granted.</w:t>
      </w:r>
    </w:p>
    <w:p w14:paraId="69F2ACB5" w14:textId="77777777" w:rsidR="000E36A4" w:rsidRDefault="000E36A4" w:rsidP="00E16767"/>
    <w:p w14:paraId="1876C81A" w14:textId="77777777" w:rsidR="000E36A4" w:rsidRDefault="000E36A4" w:rsidP="00E16767"/>
    <w:p w14:paraId="763D0BBC" w14:textId="4E1AC1ED" w:rsidR="007510EB" w:rsidRDefault="006C02C7" w:rsidP="007510EB">
      <w:pPr>
        <w:pStyle w:val="ListParagraph"/>
        <w:numPr>
          <w:ilvl w:val="0"/>
          <w:numId w:val="40"/>
        </w:numPr>
      </w:pPr>
      <w:r>
        <w:lastRenderedPageBreak/>
        <w:t>Improving</w:t>
      </w:r>
      <w:r w:rsidR="007510EB">
        <w:t xml:space="preserve"> </w:t>
      </w:r>
      <w:r>
        <w:t xml:space="preserve">the </w:t>
      </w:r>
      <w:r w:rsidR="007510EB">
        <w:t>DC contribution structure</w:t>
      </w:r>
    </w:p>
    <w:p w14:paraId="6C3E44F9" w14:textId="0BA62C9C" w:rsidR="007510EB" w:rsidRDefault="007510EB" w:rsidP="00E16767">
      <w:r>
        <w:t xml:space="preserve">As a default, the simplest way to improve the contribution structure in the CNPP is </w:t>
      </w:r>
      <w:r w:rsidR="006C02C7">
        <w:t>to</w:t>
      </w:r>
      <w:r>
        <w:t xml:space="preserve"> increase the employer contribution rate in each of the tiers by </w:t>
      </w:r>
      <w:r w:rsidR="000E36A4">
        <w:t>the same rate</w:t>
      </w:r>
      <w:r>
        <w:t xml:space="preserve"> (</w:t>
      </w:r>
      <w:r w:rsidR="000E36A4">
        <w:t xml:space="preserve">the highest possible rate </w:t>
      </w:r>
      <w:r>
        <w:t>subject to constraints such as affordability etc.)</w:t>
      </w:r>
    </w:p>
    <w:p w14:paraId="34FF2297" w14:textId="78F2DB34" w:rsidR="005E6926" w:rsidRDefault="007510EB" w:rsidP="00E16767">
      <w:r>
        <w:t>(</w:t>
      </w:r>
      <w:r w:rsidR="005E6926">
        <w:t xml:space="preserve">It should be noted that </w:t>
      </w:r>
      <w:r>
        <w:t>any such</w:t>
      </w:r>
      <w:r w:rsidR="005E6926">
        <w:t xml:space="preserve"> increase </w:t>
      </w:r>
      <w:r>
        <w:t xml:space="preserve">would </w:t>
      </w:r>
      <w:r w:rsidR="005E6926">
        <w:t xml:space="preserve">cost less than </w:t>
      </w:r>
      <w:r>
        <w:t>an equivalent</w:t>
      </w:r>
      <w:r w:rsidR="005E6926">
        <w:t xml:space="preserve"> increase in payroll</w:t>
      </w:r>
      <w:r w:rsidR="000E36A4">
        <w:t xml:space="preserve"> for all employees</w:t>
      </w:r>
      <w:r>
        <w:t>.)</w:t>
      </w:r>
      <w:r w:rsidR="005E6926">
        <w:t xml:space="preserve"> </w:t>
      </w:r>
    </w:p>
    <w:p w14:paraId="72940257" w14:textId="03600233" w:rsidR="005E6926" w:rsidRDefault="007510EB" w:rsidP="00E16767">
      <w:r>
        <w:t>This</w:t>
      </w:r>
      <w:r w:rsidR="005E6926">
        <w:t xml:space="preserve"> would have the advantage of simplicity and would benefit everyone equally. However, the challenges facing DC members are not the same.</w:t>
      </w:r>
    </w:p>
    <w:p w14:paraId="1097C7DB" w14:textId="77777777" w:rsidR="007510EB" w:rsidRDefault="005E6926" w:rsidP="00E16767">
      <w:r>
        <w:t xml:space="preserve">Members contributing at the top tier </w:t>
      </w:r>
      <w:r w:rsidR="009F321C">
        <w:t>are in a strong position to accrue a pension pot that is sufficient to allow them to retire at a reasonable age with a decent standard of living.</w:t>
      </w:r>
      <w:r w:rsidR="007510EB">
        <w:t xml:space="preserve"> </w:t>
      </w:r>
    </w:p>
    <w:p w14:paraId="1D73D3A0" w14:textId="7686131A" w:rsidR="009F321C" w:rsidRDefault="009F321C" w:rsidP="00E16767">
      <w:r>
        <w:t>Members contributing at lower levels are not.</w:t>
      </w:r>
    </w:p>
    <w:p w14:paraId="2FFA796E" w14:textId="56C4BD4D" w:rsidR="009F321C" w:rsidRDefault="007510EB" w:rsidP="00E16767">
      <w:r>
        <w:t>Prospect believes that there</w:t>
      </w:r>
      <w:r w:rsidR="009F321C">
        <w:t xml:space="preserve"> is a strong argument that more needs to be done to improve the position of those at the lower contribution tiers</w:t>
      </w:r>
      <w:r>
        <w:t>,</w:t>
      </w:r>
      <w:r w:rsidR="009F321C">
        <w:t xml:space="preserve"> because they are in much greater danger of </w:t>
      </w:r>
      <w:r>
        <w:t>facing a</w:t>
      </w:r>
      <w:r w:rsidR="009F321C">
        <w:t xml:space="preserve"> shortfall</w:t>
      </w:r>
      <w:r>
        <w:t xml:space="preserve"> in retirement</w:t>
      </w:r>
      <w:r w:rsidR="009F321C">
        <w:t>.</w:t>
      </w:r>
    </w:p>
    <w:p w14:paraId="2BFFD6F0" w14:textId="146D1A69" w:rsidR="009F321C" w:rsidRDefault="009F321C" w:rsidP="00E16767">
      <w:r>
        <w:t>It is also the case th</w:t>
      </w:r>
      <w:r w:rsidR="00AA07AC">
        <w:t>at</w:t>
      </w:r>
      <w:r>
        <w:t xml:space="preserve"> younger and female members are more likely to be contributing at lower contribution tiers, so focussing efforts here will help address indirect age and gender discrimination</w:t>
      </w:r>
      <w:r w:rsidR="007510EB">
        <w:t xml:space="preserve"> (see table below based on information provided by the NDA)</w:t>
      </w:r>
      <w:r>
        <w:t>.</w:t>
      </w:r>
    </w:p>
    <w:p w14:paraId="2563197E" w14:textId="77777777" w:rsidR="00B94307" w:rsidRDefault="00B94307" w:rsidP="00E16767"/>
    <w:tbl>
      <w:tblPr>
        <w:tblStyle w:val="TableGrid"/>
        <w:tblW w:w="0" w:type="auto"/>
        <w:tblLook w:val="04A0" w:firstRow="1" w:lastRow="0" w:firstColumn="1" w:lastColumn="0" w:noHBand="0" w:noVBand="1"/>
      </w:tblPr>
      <w:tblGrid>
        <w:gridCol w:w="1350"/>
        <w:gridCol w:w="1189"/>
        <w:gridCol w:w="1189"/>
        <w:gridCol w:w="1196"/>
        <w:gridCol w:w="1190"/>
        <w:gridCol w:w="1190"/>
        <w:gridCol w:w="1190"/>
      </w:tblGrid>
      <w:tr w:rsidR="00D5603A" w14:paraId="45921D2D" w14:textId="77777777" w:rsidTr="00B94307">
        <w:tc>
          <w:tcPr>
            <w:tcW w:w="1213" w:type="dxa"/>
          </w:tcPr>
          <w:p w14:paraId="4B59C571" w14:textId="507DDD3C" w:rsidR="00B94307" w:rsidRDefault="00B94307" w:rsidP="00B94307">
            <w:pPr>
              <w:jc w:val="center"/>
            </w:pPr>
            <w:r>
              <w:t>Contribution Band</w:t>
            </w:r>
          </w:p>
        </w:tc>
        <w:tc>
          <w:tcPr>
            <w:tcW w:w="1213" w:type="dxa"/>
          </w:tcPr>
          <w:p w14:paraId="4DF87011" w14:textId="06F7953D" w:rsidR="00B94307" w:rsidRDefault="00B94307" w:rsidP="00B94307">
            <w:pPr>
              <w:jc w:val="center"/>
            </w:pPr>
            <w:r>
              <w:t>Total</w:t>
            </w:r>
          </w:p>
        </w:tc>
        <w:tc>
          <w:tcPr>
            <w:tcW w:w="1213" w:type="dxa"/>
          </w:tcPr>
          <w:p w14:paraId="4EF02B38" w14:textId="6A3F6246" w:rsidR="00B94307" w:rsidRDefault="00B94307" w:rsidP="00B94307">
            <w:pPr>
              <w:jc w:val="center"/>
            </w:pPr>
            <w:r>
              <w:t>Male</w:t>
            </w:r>
          </w:p>
        </w:tc>
        <w:tc>
          <w:tcPr>
            <w:tcW w:w="1213" w:type="dxa"/>
          </w:tcPr>
          <w:p w14:paraId="6EB6E486" w14:textId="6A859232" w:rsidR="00B94307" w:rsidRDefault="00B94307" w:rsidP="00B94307">
            <w:pPr>
              <w:jc w:val="center"/>
            </w:pPr>
            <w:r>
              <w:t>Female</w:t>
            </w:r>
          </w:p>
        </w:tc>
        <w:tc>
          <w:tcPr>
            <w:tcW w:w="1214" w:type="dxa"/>
          </w:tcPr>
          <w:p w14:paraId="7969D912" w14:textId="533E1E8D" w:rsidR="00B94307" w:rsidRDefault="00B94307" w:rsidP="00B94307">
            <w:pPr>
              <w:jc w:val="center"/>
            </w:pPr>
            <w:r>
              <w:t>&lt;30</w:t>
            </w:r>
          </w:p>
        </w:tc>
        <w:tc>
          <w:tcPr>
            <w:tcW w:w="1214" w:type="dxa"/>
          </w:tcPr>
          <w:p w14:paraId="6CB9730F" w14:textId="52BC254E" w:rsidR="00B94307" w:rsidRDefault="00B94307" w:rsidP="00B94307">
            <w:pPr>
              <w:jc w:val="center"/>
            </w:pPr>
            <w:r>
              <w:t>30 - 45</w:t>
            </w:r>
          </w:p>
        </w:tc>
        <w:tc>
          <w:tcPr>
            <w:tcW w:w="1214" w:type="dxa"/>
          </w:tcPr>
          <w:p w14:paraId="217FF977" w14:textId="55C67086" w:rsidR="00B94307" w:rsidRDefault="00B94307" w:rsidP="00B94307">
            <w:pPr>
              <w:jc w:val="center"/>
            </w:pPr>
            <w:r>
              <w:t>&gt;45</w:t>
            </w:r>
          </w:p>
        </w:tc>
      </w:tr>
      <w:tr w:rsidR="00D5603A" w14:paraId="74420E57" w14:textId="77777777" w:rsidTr="00B94307">
        <w:tc>
          <w:tcPr>
            <w:tcW w:w="1213" w:type="dxa"/>
          </w:tcPr>
          <w:p w14:paraId="1176241D" w14:textId="1FC7ACA4" w:rsidR="00B94307" w:rsidRDefault="00B94307" w:rsidP="00B94307">
            <w:pPr>
              <w:jc w:val="center"/>
            </w:pPr>
            <w:r>
              <w:t>3% / 8% (11%)</w:t>
            </w:r>
          </w:p>
        </w:tc>
        <w:tc>
          <w:tcPr>
            <w:tcW w:w="1213" w:type="dxa"/>
          </w:tcPr>
          <w:p w14:paraId="7C541B10" w14:textId="18026CC2" w:rsidR="00B94307" w:rsidRDefault="00B94307" w:rsidP="00B94307">
            <w:pPr>
              <w:jc w:val="center"/>
            </w:pPr>
            <w:r>
              <w:t>13.8%</w:t>
            </w:r>
          </w:p>
        </w:tc>
        <w:tc>
          <w:tcPr>
            <w:tcW w:w="1213" w:type="dxa"/>
          </w:tcPr>
          <w:p w14:paraId="419F2D4C" w14:textId="5851B217" w:rsidR="00B94307" w:rsidRDefault="00D5603A" w:rsidP="00B94307">
            <w:pPr>
              <w:jc w:val="center"/>
            </w:pPr>
            <w:r>
              <w:t>13.1%</w:t>
            </w:r>
          </w:p>
        </w:tc>
        <w:tc>
          <w:tcPr>
            <w:tcW w:w="1213" w:type="dxa"/>
          </w:tcPr>
          <w:p w14:paraId="12999973" w14:textId="0956D1B4" w:rsidR="00B94307" w:rsidRDefault="00D5603A" w:rsidP="00B94307">
            <w:pPr>
              <w:jc w:val="center"/>
            </w:pPr>
            <w:r>
              <w:t>15.2%</w:t>
            </w:r>
          </w:p>
        </w:tc>
        <w:tc>
          <w:tcPr>
            <w:tcW w:w="1214" w:type="dxa"/>
          </w:tcPr>
          <w:p w14:paraId="29A08647" w14:textId="633C7DA9" w:rsidR="00B94307" w:rsidRDefault="00D5603A" w:rsidP="00B94307">
            <w:pPr>
              <w:jc w:val="center"/>
            </w:pPr>
            <w:r>
              <w:t>14.8%</w:t>
            </w:r>
          </w:p>
        </w:tc>
        <w:tc>
          <w:tcPr>
            <w:tcW w:w="1214" w:type="dxa"/>
          </w:tcPr>
          <w:p w14:paraId="0E4C1FCC" w14:textId="4D4C0CB5" w:rsidR="00B94307" w:rsidRDefault="00D5603A" w:rsidP="00B94307">
            <w:pPr>
              <w:jc w:val="center"/>
            </w:pPr>
            <w:r>
              <w:t>15.4%</w:t>
            </w:r>
          </w:p>
        </w:tc>
        <w:tc>
          <w:tcPr>
            <w:tcW w:w="1214" w:type="dxa"/>
          </w:tcPr>
          <w:p w14:paraId="196C8BF6" w14:textId="1C99CB39" w:rsidR="00B94307" w:rsidRDefault="00D5603A" w:rsidP="00B94307">
            <w:pPr>
              <w:jc w:val="center"/>
            </w:pPr>
            <w:r>
              <w:t>9.8%</w:t>
            </w:r>
          </w:p>
        </w:tc>
      </w:tr>
      <w:tr w:rsidR="00D5603A" w14:paraId="01F76792" w14:textId="77777777" w:rsidTr="00B94307">
        <w:tc>
          <w:tcPr>
            <w:tcW w:w="1213" w:type="dxa"/>
          </w:tcPr>
          <w:p w14:paraId="252D25BB" w14:textId="3D5A1E89" w:rsidR="00B94307" w:rsidRDefault="00B94307" w:rsidP="00B94307">
            <w:pPr>
              <w:jc w:val="center"/>
            </w:pPr>
            <w:r>
              <w:t>4% / 9.5% (13.5%)</w:t>
            </w:r>
          </w:p>
        </w:tc>
        <w:tc>
          <w:tcPr>
            <w:tcW w:w="1213" w:type="dxa"/>
          </w:tcPr>
          <w:p w14:paraId="500D2FCE" w14:textId="13D84422" w:rsidR="00B94307" w:rsidRDefault="00B94307" w:rsidP="00B94307">
            <w:pPr>
              <w:jc w:val="center"/>
            </w:pPr>
            <w:r>
              <w:t>3.7%</w:t>
            </w:r>
          </w:p>
        </w:tc>
        <w:tc>
          <w:tcPr>
            <w:tcW w:w="1213" w:type="dxa"/>
          </w:tcPr>
          <w:p w14:paraId="24EFC682" w14:textId="199C73C2" w:rsidR="00B94307" w:rsidRDefault="00D5603A" w:rsidP="00B94307">
            <w:pPr>
              <w:jc w:val="center"/>
            </w:pPr>
            <w:r>
              <w:t>3.5%</w:t>
            </w:r>
          </w:p>
        </w:tc>
        <w:tc>
          <w:tcPr>
            <w:tcW w:w="1213" w:type="dxa"/>
          </w:tcPr>
          <w:p w14:paraId="1D9F2672" w14:textId="71DE68E3" w:rsidR="00D5603A" w:rsidRDefault="00D5603A" w:rsidP="00D5603A">
            <w:pPr>
              <w:jc w:val="center"/>
            </w:pPr>
            <w:r>
              <w:t>4.0%</w:t>
            </w:r>
          </w:p>
        </w:tc>
        <w:tc>
          <w:tcPr>
            <w:tcW w:w="1214" w:type="dxa"/>
          </w:tcPr>
          <w:p w14:paraId="7D92A63F" w14:textId="74711555" w:rsidR="00B94307" w:rsidRDefault="00D5603A" w:rsidP="00B94307">
            <w:pPr>
              <w:jc w:val="center"/>
            </w:pPr>
            <w:r>
              <w:t>4.4%</w:t>
            </w:r>
          </w:p>
        </w:tc>
        <w:tc>
          <w:tcPr>
            <w:tcW w:w="1214" w:type="dxa"/>
          </w:tcPr>
          <w:p w14:paraId="7E00BFFC" w14:textId="507AB973" w:rsidR="00B94307" w:rsidRDefault="00D5603A" w:rsidP="00B94307">
            <w:pPr>
              <w:jc w:val="center"/>
            </w:pPr>
            <w:r>
              <w:t>3.8%</w:t>
            </w:r>
          </w:p>
        </w:tc>
        <w:tc>
          <w:tcPr>
            <w:tcW w:w="1214" w:type="dxa"/>
          </w:tcPr>
          <w:p w14:paraId="7DD2258C" w14:textId="1F4ED465" w:rsidR="00B94307" w:rsidRDefault="00AE4FC7" w:rsidP="00B94307">
            <w:pPr>
              <w:jc w:val="center"/>
            </w:pPr>
            <w:r>
              <w:t>2.2%</w:t>
            </w:r>
          </w:p>
        </w:tc>
      </w:tr>
      <w:tr w:rsidR="00D5603A" w14:paraId="4639CF52" w14:textId="77777777" w:rsidTr="00B94307">
        <w:tc>
          <w:tcPr>
            <w:tcW w:w="1213" w:type="dxa"/>
          </w:tcPr>
          <w:p w14:paraId="0B4CFB53" w14:textId="09DBE896" w:rsidR="00B94307" w:rsidRDefault="00B94307" w:rsidP="00B94307">
            <w:pPr>
              <w:jc w:val="center"/>
            </w:pPr>
            <w:r>
              <w:t>5% / 11% (16%)</w:t>
            </w:r>
          </w:p>
        </w:tc>
        <w:tc>
          <w:tcPr>
            <w:tcW w:w="1213" w:type="dxa"/>
          </w:tcPr>
          <w:p w14:paraId="235243DF" w14:textId="56A09210" w:rsidR="00B94307" w:rsidRDefault="00B94307" w:rsidP="00B94307">
            <w:pPr>
              <w:jc w:val="center"/>
            </w:pPr>
            <w:r>
              <w:t>10.9%</w:t>
            </w:r>
          </w:p>
        </w:tc>
        <w:tc>
          <w:tcPr>
            <w:tcW w:w="1213" w:type="dxa"/>
          </w:tcPr>
          <w:p w14:paraId="26028CA2" w14:textId="5CDFECDB" w:rsidR="00B94307" w:rsidRDefault="00D5603A" w:rsidP="00B94307">
            <w:pPr>
              <w:jc w:val="center"/>
            </w:pPr>
            <w:r>
              <w:t>10.2%</w:t>
            </w:r>
          </w:p>
        </w:tc>
        <w:tc>
          <w:tcPr>
            <w:tcW w:w="1213" w:type="dxa"/>
          </w:tcPr>
          <w:p w14:paraId="4AD9EA25" w14:textId="6CABE94F" w:rsidR="00B94307" w:rsidRDefault="00D5603A" w:rsidP="00B94307">
            <w:pPr>
              <w:jc w:val="center"/>
            </w:pPr>
            <w:r>
              <w:t>12.3%</w:t>
            </w:r>
          </w:p>
        </w:tc>
        <w:tc>
          <w:tcPr>
            <w:tcW w:w="1214" w:type="dxa"/>
          </w:tcPr>
          <w:p w14:paraId="24F873FC" w14:textId="30F71828" w:rsidR="00B94307" w:rsidRDefault="00D5603A" w:rsidP="00B94307">
            <w:pPr>
              <w:jc w:val="center"/>
            </w:pPr>
            <w:r>
              <w:t>13.5%</w:t>
            </w:r>
          </w:p>
        </w:tc>
        <w:tc>
          <w:tcPr>
            <w:tcW w:w="1214" w:type="dxa"/>
          </w:tcPr>
          <w:p w14:paraId="6A8640F1" w14:textId="3D25AB49" w:rsidR="00B94307" w:rsidRDefault="00D5603A" w:rsidP="00B94307">
            <w:pPr>
              <w:jc w:val="center"/>
            </w:pPr>
            <w:r>
              <w:t>10.3%</w:t>
            </w:r>
          </w:p>
        </w:tc>
        <w:tc>
          <w:tcPr>
            <w:tcW w:w="1214" w:type="dxa"/>
          </w:tcPr>
          <w:p w14:paraId="3B7658CF" w14:textId="018C2F92" w:rsidR="00B94307" w:rsidRDefault="00AE4FC7" w:rsidP="00B94307">
            <w:pPr>
              <w:jc w:val="center"/>
            </w:pPr>
            <w:r>
              <w:t>7.8%</w:t>
            </w:r>
          </w:p>
        </w:tc>
      </w:tr>
      <w:tr w:rsidR="00D5603A" w14:paraId="1798B3C8" w14:textId="77777777" w:rsidTr="00B94307">
        <w:tc>
          <w:tcPr>
            <w:tcW w:w="1213" w:type="dxa"/>
          </w:tcPr>
          <w:p w14:paraId="32D359A0" w14:textId="2844B5FF" w:rsidR="00B94307" w:rsidRDefault="00B94307" w:rsidP="00B94307">
            <w:pPr>
              <w:jc w:val="center"/>
            </w:pPr>
            <w:r>
              <w:t>6% / 12.5% (18.5%)</w:t>
            </w:r>
          </w:p>
        </w:tc>
        <w:tc>
          <w:tcPr>
            <w:tcW w:w="1213" w:type="dxa"/>
          </w:tcPr>
          <w:p w14:paraId="71222AFC" w14:textId="3ED035AB" w:rsidR="00B94307" w:rsidRDefault="00B94307" w:rsidP="00B94307">
            <w:pPr>
              <w:jc w:val="center"/>
            </w:pPr>
            <w:r>
              <w:t>3.7%</w:t>
            </w:r>
          </w:p>
        </w:tc>
        <w:tc>
          <w:tcPr>
            <w:tcW w:w="1213" w:type="dxa"/>
          </w:tcPr>
          <w:p w14:paraId="46D7F9E9" w14:textId="117530A7" w:rsidR="00B94307" w:rsidRDefault="00D5603A" w:rsidP="00B94307">
            <w:pPr>
              <w:jc w:val="center"/>
            </w:pPr>
            <w:r>
              <w:t>3.8%</w:t>
            </w:r>
          </w:p>
        </w:tc>
        <w:tc>
          <w:tcPr>
            <w:tcW w:w="1213" w:type="dxa"/>
          </w:tcPr>
          <w:p w14:paraId="669B3CEE" w14:textId="26543476" w:rsidR="00B94307" w:rsidRDefault="00D5603A" w:rsidP="00B94307">
            <w:pPr>
              <w:jc w:val="center"/>
            </w:pPr>
            <w:r>
              <w:t>3.5%</w:t>
            </w:r>
          </w:p>
        </w:tc>
        <w:tc>
          <w:tcPr>
            <w:tcW w:w="1214" w:type="dxa"/>
          </w:tcPr>
          <w:p w14:paraId="6C7D55C4" w14:textId="1A906B7D" w:rsidR="00B94307" w:rsidRDefault="00D5603A" w:rsidP="00B94307">
            <w:pPr>
              <w:jc w:val="center"/>
            </w:pPr>
            <w:r>
              <w:t>3.9%</w:t>
            </w:r>
          </w:p>
        </w:tc>
        <w:tc>
          <w:tcPr>
            <w:tcW w:w="1214" w:type="dxa"/>
          </w:tcPr>
          <w:p w14:paraId="1F504235" w14:textId="5A555889" w:rsidR="00B94307" w:rsidRDefault="00D5603A" w:rsidP="00B94307">
            <w:pPr>
              <w:jc w:val="center"/>
            </w:pPr>
            <w:r>
              <w:t>3.6%</w:t>
            </w:r>
          </w:p>
        </w:tc>
        <w:tc>
          <w:tcPr>
            <w:tcW w:w="1214" w:type="dxa"/>
          </w:tcPr>
          <w:p w14:paraId="6508A46C" w14:textId="3DC2496E" w:rsidR="00B94307" w:rsidRDefault="00AE4FC7" w:rsidP="00B94307">
            <w:pPr>
              <w:jc w:val="center"/>
            </w:pPr>
            <w:r>
              <w:t>3.4%</w:t>
            </w:r>
          </w:p>
        </w:tc>
      </w:tr>
      <w:tr w:rsidR="00D5603A" w14:paraId="481C921E" w14:textId="77777777" w:rsidTr="00B94307">
        <w:tc>
          <w:tcPr>
            <w:tcW w:w="1213" w:type="dxa"/>
          </w:tcPr>
          <w:p w14:paraId="5835AC63" w14:textId="39940091" w:rsidR="00B94307" w:rsidRDefault="00B94307" w:rsidP="00B94307">
            <w:pPr>
              <w:jc w:val="center"/>
            </w:pPr>
            <w:r>
              <w:t>7% / 13.5% (20.5%</w:t>
            </w:r>
          </w:p>
        </w:tc>
        <w:tc>
          <w:tcPr>
            <w:tcW w:w="1213" w:type="dxa"/>
          </w:tcPr>
          <w:p w14:paraId="1E233CAA" w14:textId="6A16289A" w:rsidR="00B94307" w:rsidRDefault="00B94307" w:rsidP="00B94307">
            <w:pPr>
              <w:jc w:val="center"/>
            </w:pPr>
            <w:r>
              <w:t>67.9%</w:t>
            </w:r>
          </w:p>
        </w:tc>
        <w:tc>
          <w:tcPr>
            <w:tcW w:w="1213" w:type="dxa"/>
          </w:tcPr>
          <w:p w14:paraId="48DB1269" w14:textId="7E4E99BB" w:rsidR="00B94307" w:rsidRDefault="00D5603A" w:rsidP="00B94307">
            <w:pPr>
              <w:jc w:val="center"/>
            </w:pPr>
            <w:r>
              <w:t>69.4%</w:t>
            </w:r>
          </w:p>
        </w:tc>
        <w:tc>
          <w:tcPr>
            <w:tcW w:w="1213" w:type="dxa"/>
          </w:tcPr>
          <w:p w14:paraId="175E1905" w14:textId="4D9A62D8" w:rsidR="00B94307" w:rsidRDefault="00D5603A" w:rsidP="00B94307">
            <w:pPr>
              <w:jc w:val="center"/>
            </w:pPr>
            <w:r>
              <w:t>65.0%</w:t>
            </w:r>
          </w:p>
        </w:tc>
        <w:tc>
          <w:tcPr>
            <w:tcW w:w="1214" w:type="dxa"/>
          </w:tcPr>
          <w:p w14:paraId="0FF28440" w14:textId="7F687F58" w:rsidR="00B94307" w:rsidRDefault="00D5603A" w:rsidP="00B94307">
            <w:pPr>
              <w:jc w:val="center"/>
            </w:pPr>
            <w:r>
              <w:t>63.4%</w:t>
            </w:r>
          </w:p>
        </w:tc>
        <w:tc>
          <w:tcPr>
            <w:tcW w:w="1214" w:type="dxa"/>
          </w:tcPr>
          <w:p w14:paraId="65C83DE6" w14:textId="760D4AA8" w:rsidR="00B94307" w:rsidRDefault="00D5603A" w:rsidP="00B94307">
            <w:pPr>
              <w:jc w:val="center"/>
            </w:pPr>
            <w:r>
              <w:t>66.8%</w:t>
            </w:r>
          </w:p>
        </w:tc>
        <w:tc>
          <w:tcPr>
            <w:tcW w:w="1214" w:type="dxa"/>
          </w:tcPr>
          <w:p w14:paraId="4DFB98AA" w14:textId="4D5FEFEF" w:rsidR="00B94307" w:rsidRDefault="00AE4FC7" w:rsidP="00B94307">
            <w:pPr>
              <w:jc w:val="center"/>
            </w:pPr>
            <w:r>
              <w:t>76.7%</w:t>
            </w:r>
          </w:p>
        </w:tc>
      </w:tr>
    </w:tbl>
    <w:p w14:paraId="11DCA13B" w14:textId="1C3ADD0F" w:rsidR="006C02C7" w:rsidRDefault="00AE4FC7" w:rsidP="00E16767">
      <w:r>
        <w:t xml:space="preserve">Members contributing at the highest tier are getting 20.5% of pay into their pension every year, this </w:t>
      </w:r>
      <w:r w:rsidR="00AA07AC">
        <w:t>can potentially enable</w:t>
      </w:r>
      <w:r>
        <w:t xml:space="preserve"> them </w:t>
      </w:r>
      <w:r w:rsidR="00AA07AC">
        <w:t xml:space="preserve">to </w:t>
      </w:r>
      <w:r>
        <w:t xml:space="preserve">accrue a sufficient pot to retire at a </w:t>
      </w:r>
      <w:r w:rsidR="00AA07AC">
        <w:t xml:space="preserve">relatively </w:t>
      </w:r>
      <w:r>
        <w:t>reasonable age with a</w:t>
      </w:r>
      <w:r w:rsidR="00AA07AC">
        <w:t xml:space="preserve"> </w:t>
      </w:r>
      <w:proofErr w:type="gramStart"/>
      <w:r w:rsidR="00AA07AC">
        <w:t>fairly</w:t>
      </w:r>
      <w:r>
        <w:t xml:space="preserve"> decent</w:t>
      </w:r>
      <w:proofErr w:type="gramEnd"/>
      <w:r>
        <w:t xml:space="preserve"> standard of living. </w:t>
      </w:r>
    </w:p>
    <w:p w14:paraId="6A053B6B" w14:textId="65C55C93" w:rsidR="00AA07AC" w:rsidRDefault="00AE4FC7" w:rsidP="00E16767">
      <w:r>
        <w:t>Members at the lowest tier get just over half that amount (11%)</w:t>
      </w:r>
      <w:r w:rsidR="006C02C7">
        <w:t xml:space="preserve"> and this is unlikely to be sufficient.</w:t>
      </w:r>
    </w:p>
    <w:p w14:paraId="2C186BAF" w14:textId="77777777" w:rsidR="00AA07AC" w:rsidRDefault="00AA07AC" w:rsidP="00E16767"/>
    <w:p w14:paraId="3B665691" w14:textId="77777777" w:rsidR="00AA07AC" w:rsidRDefault="00AA07AC" w:rsidP="00E16767"/>
    <w:p w14:paraId="727D2F43" w14:textId="77777777" w:rsidR="00AA07AC" w:rsidRDefault="00AA07AC" w:rsidP="00E16767"/>
    <w:p w14:paraId="3CFF4601" w14:textId="77777777" w:rsidR="00AA07AC" w:rsidRDefault="00AA07AC" w:rsidP="00E16767"/>
    <w:p w14:paraId="7259AD84" w14:textId="77777777" w:rsidR="00AA07AC" w:rsidRDefault="00AA07AC" w:rsidP="00E16767"/>
    <w:p w14:paraId="0338E800" w14:textId="75C5BF5A" w:rsidR="00AE4FC7" w:rsidRDefault="006C02C7" w:rsidP="00AE4FC7">
      <w:pPr>
        <w:pStyle w:val="ListParagraph"/>
        <w:numPr>
          <w:ilvl w:val="0"/>
          <w:numId w:val="38"/>
        </w:numPr>
      </w:pPr>
      <w:r>
        <w:lastRenderedPageBreak/>
        <w:t xml:space="preserve">Targeting improvements in the DC </w:t>
      </w:r>
      <w:r w:rsidR="00AE4FC7">
        <w:t>contribution structure</w:t>
      </w:r>
    </w:p>
    <w:p w14:paraId="7610A027" w14:textId="77777777" w:rsidR="006C02C7" w:rsidRDefault="00AE4FC7" w:rsidP="00D4490D">
      <w:r>
        <w:t xml:space="preserve">Rather than applying </w:t>
      </w:r>
      <w:r w:rsidR="006C02C7">
        <w:t>the same increase in</w:t>
      </w:r>
      <w:r>
        <w:t xml:space="preserve"> employer contributions across </w:t>
      </w:r>
      <w:r w:rsidR="006C02C7">
        <w:t>all contribution tiers</w:t>
      </w:r>
      <w:r w:rsidR="00D4490D">
        <w:t>,</w:t>
      </w:r>
      <w:r>
        <w:t xml:space="preserve"> we </w:t>
      </w:r>
      <w:r w:rsidR="006C02C7">
        <w:t>believe that it would be appropriate to try to target improvements in a way that delivers two specific outcomes:</w:t>
      </w:r>
    </w:p>
    <w:p w14:paraId="5169144F" w14:textId="77777777" w:rsidR="006C02C7" w:rsidRDefault="00AE4FC7" w:rsidP="00D4490D">
      <w:r>
        <w:t xml:space="preserve">(1) direct more of an increase to the lowest tiers and </w:t>
      </w:r>
    </w:p>
    <w:p w14:paraId="7A228996" w14:textId="06D4B6F3" w:rsidR="00D4490D" w:rsidRDefault="00AE4FC7" w:rsidP="006C02C7">
      <w:r>
        <w:t>(2) narrow the contribution structure (to make it easier to get the maximum amount from the employer)</w:t>
      </w:r>
    </w:p>
    <w:p w14:paraId="77097448" w14:textId="73D5636D" w:rsidR="006C02C7" w:rsidRDefault="003E1D45" w:rsidP="006C02C7">
      <w:r>
        <w:t xml:space="preserve">However, even within this framework, it is important to also deliver improvements for members contributing at all tiers, and to </w:t>
      </w:r>
      <w:proofErr w:type="gramStart"/>
      <w:r>
        <w:t>take into account</w:t>
      </w:r>
      <w:proofErr w:type="gramEnd"/>
      <w:r>
        <w:t xml:space="preserve"> what employers in other relevant organisations are offering to DC members.</w:t>
      </w:r>
    </w:p>
    <w:p w14:paraId="3EC869CA" w14:textId="12DA7905" w:rsidR="00AE3D1F" w:rsidRDefault="00AE3D1F" w:rsidP="006C02C7">
      <w:r>
        <w:t xml:space="preserve">Because major employers that the NDA’s group of companies is competing </w:t>
      </w:r>
      <w:r w:rsidR="000E36A4">
        <w:t xml:space="preserve">with </w:t>
      </w:r>
      <w:r>
        <w:t>for recruits offer higher maximum contribution rates to DC schemes (</w:t>
      </w:r>
      <w:proofErr w:type="spellStart"/>
      <w:proofErr w:type="gramStart"/>
      <w:r>
        <w:t>eg</w:t>
      </w:r>
      <w:proofErr w:type="spellEnd"/>
      <w:proofErr w:type="gramEnd"/>
      <w:r>
        <w:t xml:space="preserve"> </w:t>
      </w:r>
      <w:proofErr w:type="spellStart"/>
      <w:r>
        <w:t>Edf</w:t>
      </w:r>
      <w:proofErr w:type="spellEnd"/>
      <w:r>
        <w:t xml:space="preserve"> – 15%, NNL – 15%, </w:t>
      </w:r>
      <w:r w:rsidR="000E36A4">
        <w:t>civil service</w:t>
      </w:r>
      <w:r>
        <w:t xml:space="preserve"> – an age-related structure that can be much higher than 15%)</w:t>
      </w:r>
      <w:r w:rsidR="00C32ED3">
        <w:t>, we believe it is important for the maximum level of employer contribution to be increased to 15% of pay.</w:t>
      </w:r>
    </w:p>
    <w:p w14:paraId="46E254A0" w14:textId="399824C8" w:rsidR="003E1D45" w:rsidRDefault="00C32ED3" w:rsidP="006C02C7">
      <w:r>
        <w:t>The following proposed contribution structure meets the various objectives set out above:</w:t>
      </w:r>
    </w:p>
    <w:p w14:paraId="453EE585" w14:textId="77777777" w:rsidR="00D4490D" w:rsidRDefault="00D4490D" w:rsidP="00D4490D"/>
    <w:tbl>
      <w:tblPr>
        <w:tblStyle w:val="TableGrid"/>
        <w:tblW w:w="0" w:type="auto"/>
        <w:tblLook w:val="04A0" w:firstRow="1" w:lastRow="0" w:firstColumn="1" w:lastColumn="0" w:noHBand="0" w:noVBand="1"/>
      </w:tblPr>
      <w:tblGrid>
        <w:gridCol w:w="1415"/>
        <w:gridCol w:w="1415"/>
        <w:gridCol w:w="1416"/>
        <w:gridCol w:w="1416"/>
        <w:gridCol w:w="1416"/>
        <w:gridCol w:w="1416"/>
      </w:tblGrid>
      <w:tr w:rsidR="00D4490D" w14:paraId="2F586599" w14:textId="77777777" w:rsidTr="001F070D">
        <w:tc>
          <w:tcPr>
            <w:tcW w:w="4246" w:type="dxa"/>
            <w:gridSpan w:val="3"/>
          </w:tcPr>
          <w:p w14:paraId="7165AF15" w14:textId="28761DFE" w:rsidR="00D4490D" w:rsidRDefault="00D4490D" w:rsidP="00D4490D">
            <w:pPr>
              <w:jc w:val="center"/>
            </w:pPr>
            <w:r>
              <w:t>Existing</w:t>
            </w:r>
          </w:p>
        </w:tc>
        <w:tc>
          <w:tcPr>
            <w:tcW w:w="4248" w:type="dxa"/>
            <w:gridSpan w:val="3"/>
          </w:tcPr>
          <w:p w14:paraId="2B92872C" w14:textId="44D07E17" w:rsidR="00D4490D" w:rsidRDefault="00D4490D" w:rsidP="00D4490D">
            <w:pPr>
              <w:jc w:val="center"/>
            </w:pPr>
            <w:r>
              <w:t>Proposed</w:t>
            </w:r>
          </w:p>
        </w:tc>
      </w:tr>
      <w:tr w:rsidR="00D4490D" w14:paraId="311E9C51" w14:textId="77777777" w:rsidTr="00D4490D">
        <w:tc>
          <w:tcPr>
            <w:tcW w:w="1415" w:type="dxa"/>
          </w:tcPr>
          <w:p w14:paraId="6D3E6FEA" w14:textId="7B0FBB6A" w:rsidR="00D4490D" w:rsidRDefault="00D4490D" w:rsidP="00D4490D">
            <w:pPr>
              <w:jc w:val="center"/>
            </w:pPr>
            <w:r>
              <w:t>Member</w:t>
            </w:r>
          </w:p>
        </w:tc>
        <w:tc>
          <w:tcPr>
            <w:tcW w:w="1415" w:type="dxa"/>
          </w:tcPr>
          <w:p w14:paraId="0F585797" w14:textId="148C0803" w:rsidR="00D4490D" w:rsidRDefault="00D4490D" w:rsidP="00D4490D">
            <w:pPr>
              <w:jc w:val="center"/>
            </w:pPr>
            <w:r>
              <w:t>Employer</w:t>
            </w:r>
          </w:p>
        </w:tc>
        <w:tc>
          <w:tcPr>
            <w:tcW w:w="1416" w:type="dxa"/>
          </w:tcPr>
          <w:p w14:paraId="4B24E331" w14:textId="56A6A77B" w:rsidR="00D4490D" w:rsidRDefault="00D4490D" w:rsidP="00D4490D">
            <w:pPr>
              <w:jc w:val="center"/>
            </w:pPr>
            <w:r>
              <w:t>Total</w:t>
            </w:r>
          </w:p>
        </w:tc>
        <w:tc>
          <w:tcPr>
            <w:tcW w:w="1416" w:type="dxa"/>
          </w:tcPr>
          <w:p w14:paraId="612CB680" w14:textId="2E3515D1" w:rsidR="00D4490D" w:rsidRDefault="00D4490D" w:rsidP="00D4490D">
            <w:pPr>
              <w:jc w:val="center"/>
            </w:pPr>
            <w:r>
              <w:t>Member</w:t>
            </w:r>
          </w:p>
        </w:tc>
        <w:tc>
          <w:tcPr>
            <w:tcW w:w="1416" w:type="dxa"/>
          </w:tcPr>
          <w:p w14:paraId="0B623554" w14:textId="7615E6B4" w:rsidR="00D4490D" w:rsidRDefault="00D4490D" w:rsidP="00D4490D">
            <w:pPr>
              <w:jc w:val="center"/>
            </w:pPr>
            <w:r>
              <w:t>Employer</w:t>
            </w:r>
          </w:p>
        </w:tc>
        <w:tc>
          <w:tcPr>
            <w:tcW w:w="1416" w:type="dxa"/>
          </w:tcPr>
          <w:p w14:paraId="51A48F69" w14:textId="0E71CAC4" w:rsidR="00D4490D" w:rsidRDefault="00D4490D" w:rsidP="00D4490D">
            <w:pPr>
              <w:jc w:val="center"/>
            </w:pPr>
            <w:r>
              <w:t>Total</w:t>
            </w:r>
          </w:p>
        </w:tc>
      </w:tr>
      <w:tr w:rsidR="00D4490D" w14:paraId="54272B7A" w14:textId="77777777" w:rsidTr="00D4490D">
        <w:tc>
          <w:tcPr>
            <w:tcW w:w="1415" w:type="dxa"/>
          </w:tcPr>
          <w:p w14:paraId="7E5F9BD9" w14:textId="4F93F5C5" w:rsidR="00D4490D" w:rsidRDefault="00D4490D" w:rsidP="00D4490D">
            <w:pPr>
              <w:jc w:val="center"/>
            </w:pPr>
            <w:r>
              <w:t>3%</w:t>
            </w:r>
          </w:p>
        </w:tc>
        <w:tc>
          <w:tcPr>
            <w:tcW w:w="1415" w:type="dxa"/>
          </w:tcPr>
          <w:p w14:paraId="34EADE86" w14:textId="46C0FAC7" w:rsidR="00D4490D" w:rsidRDefault="00D4490D" w:rsidP="00D4490D">
            <w:pPr>
              <w:jc w:val="center"/>
            </w:pPr>
            <w:r>
              <w:t>8%</w:t>
            </w:r>
          </w:p>
        </w:tc>
        <w:tc>
          <w:tcPr>
            <w:tcW w:w="1416" w:type="dxa"/>
          </w:tcPr>
          <w:p w14:paraId="31679CE9" w14:textId="1EC74DEB" w:rsidR="00D4490D" w:rsidRDefault="00D4490D" w:rsidP="00D4490D">
            <w:pPr>
              <w:jc w:val="center"/>
            </w:pPr>
            <w:r>
              <w:t>11%</w:t>
            </w:r>
          </w:p>
        </w:tc>
        <w:tc>
          <w:tcPr>
            <w:tcW w:w="1416" w:type="dxa"/>
          </w:tcPr>
          <w:p w14:paraId="6EFB7580" w14:textId="121B7979" w:rsidR="00D4490D" w:rsidRDefault="00D4490D" w:rsidP="00D4490D">
            <w:pPr>
              <w:jc w:val="center"/>
            </w:pPr>
            <w:r>
              <w:t>3%</w:t>
            </w:r>
          </w:p>
        </w:tc>
        <w:tc>
          <w:tcPr>
            <w:tcW w:w="1416" w:type="dxa"/>
          </w:tcPr>
          <w:p w14:paraId="3FD7AE0E" w14:textId="7FC6B387" w:rsidR="00D4490D" w:rsidRDefault="00D4490D" w:rsidP="00D4490D">
            <w:pPr>
              <w:jc w:val="center"/>
            </w:pPr>
            <w:r>
              <w:t>12%</w:t>
            </w:r>
          </w:p>
        </w:tc>
        <w:tc>
          <w:tcPr>
            <w:tcW w:w="1416" w:type="dxa"/>
          </w:tcPr>
          <w:p w14:paraId="503D20FB" w14:textId="1F989F75" w:rsidR="00D4490D" w:rsidRDefault="00D4490D" w:rsidP="00D4490D">
            <w:pPr>
              <w:jc w:val="center"/>
            </w:pPr>
            <w:r>
              <w:t>15%</w:t>
            </w:r>
          </w:p>
        </w:tc>
      </w:tr>
      <w:tr w:rsidR="00D4490D" w14:paraId="633901A4" w14:textId="77777777" w:rsidTr="00D4490D">
        <w:tc>
          <w:tcPr>
            <w:tcW w:w="1415" w:type="dxa"/>
          </w:tcPr>
          <w:p w14:paraId="7DBBCF8B" w14:textId="5BBF5552" w:rsidR="00D4490D" w:rsidRDefault="00D4490D" w:rsidP="00D4490D">
            <w:pPr>
              <w:jc w:val="center"/>
            </w:pPr>
            <w:r>
              <w:t>4%</w:t>
            </w:r>
          </w:p>
        </w:tc>
        <w:tc>
          <w:tcPr>
            <w:tcW w:w="1415" w:type="dxa"/>
          </w:tcPr>
          <w:p w14:paraId="2915FABD" w14:textId="61F64ECD" w:rsidR="00D4490D" w:rsidRDefault="00D4490D" w:rsidP="00D4490D">
            <w:pPr>
              <w:jc w:val="center"/>
            </w:pPr>
            <w:r>
              <w:t>9.5%</w:t>
            </w:r>
          </w:p>
        </w:tc>
        <w:tc>
          <w:tcPr>
            <w:tcW w:w="1416" w:type="dxa"/>
          </w:tcPr>
          <w:p w14:paraId="4B40E639" w14:textId="738A6E89" w:rsidR="00D4490D" w:rsidRDefault="00D4490D" w:rsidP="00D4490D">
            <w:pPr>
              <w:jc w:val="center"/>
            </w:pPr>
            <w:r>
              <w:t>13.5%</w:t>
            </w:r>
          </w:p>
        </w:tc>
        <w:tc>
          <w:tcPr>
            <w:tcW w:w="1416" w:type="dxa"/>
          </w:tcPr>
          <w:p w14:paraId="13CCF014" w14:textId="504BB0B1" w:rsidR="00D4490D" w:rsidRDefault="00D4490D" w:rsidP="00D4490D">
            <w:pPr>
              <w:jc w:val="center"/>
            </w:pPr>
            <w:r>
              <w:t>4%</w:t>
            </w:r>
          </w:p>
        </w:tc>
        <w:tc>
          <w:tcPr>
            <w:tcW w:w="1416" w:type="dxa"/>
          </w:tcPr>
          <w:p w14:paraId="3822DACD" w14:textId="55EE1007" w:rsidR="00D4490D" w:rsidRDefault="00D4490D" w:rsidP="00D4490D">
            <w:pPr>
              <w:jc w:val="center"/>
            </w:pPr>
            <w:r>
              <w:t>13%</w:t>
            </w:r>
          </w:p>
        </w:tc>
        <w:tc>
          <w:tcPr>
            <w:tcW w:w="1416" w:type="dxa"/>
          </w:tcPr>
          <w:p w14:paraId="2C30B268" w14:textId="47BBF2F5" w:rsidR="00D4490D" w:rsidRDefault="00D4490D" w:rsidP="00D4490D">
            <w:pPr>
              <w:jc w:val="center"/>
            </w:pPr>
            <w:r>
              <w:t>17%</w:t>
            </w:r>
          </w:p>
        </w:tc>
      </w:tr>
      <w:tr w:rsidR="00D4490D" w14:paraId="0F6F3122" w14:textId="77777777" w:rsidTr="00D4490D">
        <w:tc>
          <w:tcPr>
            <w:tcW w:w="1415" w:type="dxa"/>
          </w:tcPr>
          <w:p w14:paraId="1D00E3D2" w14:textId="63E0CCC1" w:rsidR="00D4490D" w:rsidRDefault="00D4490D" w:rsidP="00D4490D">
            <w:pPr>
              <w:jc w:val="center"/>
            </w:pPr>
            <w:r>
              <w:t>5%</w:t>
            </w:r>
          </w:p>
        </w:tc>
        <w:tc>
          <w:tcPr>
            <w:tcW w:w="1415" w:type="dxa"/>
          </w:tcPr>
          <w:p w14:paraId="4630B0B4" w14:textId="6B63D917" w:rsidR="00D4490D" w:rsidRDefault="00D4490D" w:rsidP="00D4490D">
            <w:pPr>
              <w:jc w:val="center"/>
            </w:pPr>
            <w:r>
              <w:t>11%</w:t>
            </w:r>
          </w:p>
        </w:tc>
        <w:tc>
          <w:tcPr>
            <w:tcW w:w="1416" w:type="dxa"/>
          </w:tcPr>
          <w:p w14:paraId="54F7B2D2" w14:textId="61494298" w:rsidR="00D4490D" w:rsidRDefault="00D4490D" w:rsidP="00D4490D">
            <w:pPr>
              <w:jc w:val="center"/>
            </w:pPr>
            <w:r>
              <w:t>16%</w:t>
            </w:r>
          </w:p>
        </w:tc>
        <w:tc>
          <w:tcPr>
            <w:tcW w:w="1416" w:type="dxa"/>
          </w:tcPr>
          <w:p w14:paraId="3D93FC6E" w14:textId="1058C016" w:rsidR="00D4490D" w:rsidRDefault="00D4490D" w:rsidP="00D4490D">
            <w:pPr>
              <w:jc w:val="center"/>
            </w:pPr>
            <w:r>
              <w:t>5%</w:t>
            </w:r>
          </w:p>
        </w:tc>
        <w:tc>
          <w:tcPr>
            <w:tcW w:w="1416" w:type="dxa"/>
          </w:tcPr>
          <w:p w14:paraId="7147CF24" w14:textId="3C7B229F" w:rsidR="00D4490D" w:rsidRDefault="00D4490D" w:rsidP="00D4490D">
            <w:pPr>
              <w:jc w:val="center"/>
            </w:pPr>
            <w:r>
              <w:t>14%</w:t>
            </w:r>
          </w:p>
        </w:tc>
        <w:tc>
          <w:tcPr>
            <w:tcW w:w="1416" w:type="dxa"/>
          </w:tcPr>
          <w:p w14:paraId="6AE28758" w14:textId="445A3F6D" w:rsidR="00D4490D" w:rsidRDefault="00D4490D" w:rsidP="00D4490D">
            <w:pPr>
              <w:jc w:val="center"/>
            </w:pPr>
            <w:r>
              <w:t>19%</w:t>
            </w:r>
          </w:p>
        </w:tc>
      </w:tr>
      <w:tr w:rsidR="00D4490D" w14:paraId="4432D879" w14:textId="77777777" w:rsidTr="00D4490D">
        <w:tc>
          <w:tcPr>
            <w:tcW w:w="1415" w:type="dxa"/>
          </w:tcPr>
          <w:p w14:paraId="37BCAA10" w14:textId="45672067" w:rsidR="00D4490D" w:rsidRDefault="00D4490D" w:rsidP="00D4490D">
            <w:pPr>
              <w:jc w:val="center"/>
            </w:pPr>
            <w:r>
              <w:t>6%</w:t>
            </w:r>
          </w:p>
        </w:tc>
        <w:tc>
          <w:tcPr>
            <w:tcW w:w="1415" w:type="dxa"/>
          </w:tcPr>
          <w:p w14:paraId="5BD4F0F1" w14:textId="6A394C42" w:rsidR="00D4490D" w:rsidRDefault="00D4490D" w:rsidP="00D4490D">
            <w:pPr>
              <w:jc w:val="center"/>
            </w:pPr>
            <w:r>
              <w:t>12.5%</w:t>
            </w:r>
          </w:p>
        </w:tc>
        <w:tc>
          <w:tcPr>
            <w:tcW w:w="1416" w:type="dxa"/>
          </w:tcPr>
          <w:p w14:paraId="132C322F" w14:textId="3CFFBA9F" w:rsidR="00D4490D" w:rsidRDefault="00D4490D" w:rsidP="00D4490D">
            <w:pPr>
              <w:jc w:val="center"/>
            </w:pPr>
            <w:r>
              <w:t>18.5%</w:t>
            </w:r>
          </w:p>
        </w:tc>
        <w:tc>
          <w:tcPr>
            <w:tcW w:w="1416" w:type="dxa"/>
          </w:tcPr>
          <w:p w14:paraId="218DE661" w14:textId="7C27B7CA" w:rsidR="00D4490D" w:rsidRDefault="00D4490D" w:rsidP="00D4490D">
            <w:pPr>
              <w:jc w:val="center"/>
            </w:pPr>
            <w:r>
              <w:t>6%</w:t>
            </w:r>
          </w:p>
        </w:tc>
        <w:tc>
          <w:tcPr>
            <w:tcW w:w="1416" w:type="dxa"/>
          </w:tcPr>
          <w:p w14:paraId="5BCBDEA5" w14:textId="5F7DFA09" w:rsidR="00D4490D" w:rsidRDefault="00D4490D" w:rsidP="00D4490D">
            <w:pPr>
              <w:jc w:val="center"/>
            </w:pPr>
            <w:r>
              <w:t>15%</w:t>
            </w:r>
          </w:p>
        </w:tc>
        <w:tc>
          <w:tcPr>
            <w:tcW w:w="1416" w:type="dxa"/>
          </w:tcPr>
          <w:p w14:paraId="37293DC1" w14:textId="184D884F" w:rsidR="00D4490D" w:rsidRDefault="00D4490D" w:rsidP="00D4490D">
            <w:pPr>
              <w:jc w:val="center"/>
            </w:pPr>
            <w:r>
              <w:t>21%</w:t>
            </w:r>
          </w:p>
        </w:tc>
      </w:tr>
      <w:tr w:rsidR="00D4490D" w14:paraId="481D45DC" w14:textId="77777777" w:rsidTr="00D4490D">
        <w:tc>
          <w:tcPr>
            <w:tcW w:w="1415" w:type="dxa"/>
          </w:tcPr>
          <w:p w14:paraId="6DA77F1C" w14:textId="299A25D4" w:rsidR="00D4490D" w:rsidRDefault="00D4490D" w:rsidP="00D4490D">
            <w:pPr>
              <w:jc w:val="center"/>
            </w:pPr>
            <w:r>
              <w:t>7%</w:t>
            </w:r>
          </w:p>
        </w:tc>
        <w:tc>
          <w:tcPr>
            <w:tcW w:w="1415" w:type="dxa"/>
          </w:tcPr>
          <w:p w14:paraId="4DC43741" w14:textId="60C8488F" w:rsidR="00D4490D" w:rsidRDefault="00D4490D" w:rsidP="00D4490D">
            <w:pPr>
              <w:jc w:val="center"/>
            </w:pPr>
            <w:r>
              <w:t>13.5%</w:t>
            </w:r>
          </w:p>
        </w:tc>
        <w:tc>
          <w:tcPr>
            <w:tcW w:w="1416" w:type="dxa"/>
          </w:tcPr>
          <w:p w14:paraId="7B88899C" w14:textId="3B4A425E" w:rsidR="00D4490D" w:rsidRDefault="00D4490D" w:rsidP="00D4490D">
            <w:pPr>
              <w:jc w:val="center"/>
            </w:pPr>
            <w:r>
              <w:t>20.5%</w:t>
            </w:r>
          </w:p>
        </w:tc>
        <w:tc>
          <w:tcPr>
            <w:tcW w:w="1416" w:type="dxa"/>
          </w:tcPr>
          <w:p w14:paraId="40140D13" w14:textId="3C442369" w:rsidR="00D4490D" w:rsidRDefault="00D4490D" w:rsidP="00D4490D">
            <w:pPr>
              <w:jc w:val="center"/>
            </w:pPr>
          </w:p>
        </w:tc>
        <w:tc>
          <w:tcPr>
            <w:tcW w:w="1416" w:type="dxa"/>
          </w:tcPr>
          <w:p w14:paraId="5C465EDA" w14:textId="1D0F59E0" w:rsidR="00D4490D" w:rsidRDefault="00D4490D" w:rsidP="00D4490D">
            <w:pPr>
              <w:jc w:val="center"/>
            </w:pPr>
          </w:p>
        </w:tc>
        <w:tc>
          <w:tcPr>
            <w:tcW w:w="1416" w:type="dxa"/>
          </w:tcPr>
          <w:p w14:paraId="12B1BFF1" w14:textId="77777777" w:rsidR="00D4490D" w:rsidRDefault="00D4490D" w:rsidP="00D4490D">
            <w:pPr>
              <w:jc w:val="center"/>
            </w:pPr>
          </w:p>
        </w:tc>
      </w:tr>
    </w:tbl>
    <w:p w14:paraId="66012FED" w14:textId="58C78E4A" w:rsidR="00C32ED3" w:rsidRDefault="00C32ED3" w:rsidP="00D4490D">
      <w:r>
        <w:t>Notes:</w:t>
      </w:r>
    </w:p>
    <w:p w14:paraId="7F8B6480" w14:textId="71403236" w:rsidR="00C32ED3" w:rsidRDefault="00C32ED3" w:rsidP="00C32ED3">
      <w:pPr>
        <w:pStyle w:val="ListParagraph"/>
        <w:numPr>
          <w:ilvl w:val="0"/>
          <w:numId w:val="41"/>
        </w:numPr>
      </w:pPr>
      <w:r>
        <w:t>The number of tiers would be reduced from five to four (with 6% the maximum matching level), but members could continue to pay 7% (or even more).</w:t>
      </w:r>
    </w:p>
    <w:p w14:paraId="3AD228B6" w14:textId="1F4F0898" w:rsidR="00C32ED3" w:rsidRDefault="00C32ED3" w:rsidP="00C32ED3">
      <w:pPr>
        <w:pStyle w:val="ListParagraph"/>
        <w:numPr>
          <w:ilvl w:val="0"/>
          <w:numId w:val="41"/>
        </w:numPr>
      </w:pPr>
      <w:r>
        <w:t>The proposed improvements are greatest for the members contributing at the lowest tiers.</w:t>
      </w:r>
    </w:p>
    <w:p w14:paraId="2EF187EF" w14:textId="72065F95" w:rsidR="0030580C" w:rsidRDefault="00C32ED3" w:rsidP="00C32ED3">
      <w:pPr>
        <w:pStyle w:val="ListParagraph"/>
        <w:numPr>
          <w:ilvl w:val="0"/>
          <w:numId w:val="41"/>
        </w:numPr>
      </w:pPr>
      <w:r>
        <w:t>Everyone would see an increase in employer contributions of at least 1.5% of pay.</w:t>
      </w:r>
    </w:p>
    <w:p w14:paraId="489DF1BC" w14:textId="6A2E76F8" w:rsidR="00D870CA" w:rsidRPr="0030580C" w:rsidRDefault="0030580C" w:rsidP="0030580C">
      <w:pPr>
        <w:tabs>
          <w:tab w:val="left" w:pos="1120"/>
        </w:tabs>
      </w:pPr>
      <w:r>
        <w:rPr>
          <w:b/>
          <w:bCs/>
        </w:rPr>
        <w:t xml:space="preserve">Other </w:t>
      </w:r>
      <w:r w:rsidR="00C32ED3">
        <w:rPr>
          <w:b/>
          <w:bCs/>
        </w:rPr>
        <w:t>issues</w:t>
      </w:r>
      <w:r w:rsidR="00CE50D4">
        <w:rPr>
          <w:b/>
          <w:bCs/>
        </w:rPr>
        <w:t xml:space="preserve"> </w:t>
      </w:r>
    </w:p>
    <w:p w14:paraId="31AC374B" w14:textId="45650411" w:rsidR="00D056E7" w:rsidRDefault="00D056E7">
      <w:pPr>
        <w:spacing w:before="0"/>
      </w:pPr>
    </w:p>
    <w:p w14:paraId="7B82D30D" w14:textId="5D10C7EF" w:rsidR="00FB61CA" w:rsidRDefault="00C32ED3">
      <w:pPr>
        <w:spacing w:before="0"/>
      </w:pPr>
      <w:r>
        <w:t>We will write jointly with the other trade unions around issues to do with supporting DC members at retirement.</w:t>
      </w:r>
    </w:p>
    <w:p w14:paraId="638D8BCA" w14:textId="23CECB2C" w:rsidR="00C32ED3" w:rsidRDefault="00C32ED3">
      <w:pPr>
        <w:spacing w:before="0"/>
      </w:pPr>
    </w:p>
    <w:p w14:paraId="11CBE580" w14:textId="0B612E9A" w:rsidR="00C32ED3" w:rsidRDefault="00C32ED3">
      <w:pPr>
        <w:spacing w:before="0"/>
      </w:pPr>
      <w:r>
        <w:t>We believe that death-in-service benefits for members of the DC section of the CNPP are too low and should be increased.</w:t>
      </w:r>
    </w:p>
    <w:p w14:paraId="477363B3" w14:textId="77777777" w:rsidR="00C32ED3" w:rsidRDefault="00C32ED3">
      <w:pPr>
        <w:spacing w:before="0"/>
      </w:pPr>
    </w:p>
    <w:p w14:paraId="01D81872" w14:textId="35F3033C" w:rsidR="00C32ED3" w:rsidRDefault="00C32ED3">
      <w:pPr>
        <w:spacing w:before="0"/>
      </w:pPr>
      <w:r>
        <w:t>We note the ongoing review of the Group Income Protection scheme and look forward to inputting to this at an early stage.</w:t>
      </w:r>
    </w:p>
    <w:sectPr w:rsidR="00C32ED3" w:rsidSect="00ED4724">
      <w:footerReference w:type="even" r:id="rId8"/>
      <w:footerReference w:type="default" r:id="rId9"/>
      <w:headerReference w:type="first" r:id="rId10"/>
      <w:footerReference w:type="first" r:id="rId11"/>
      <w:pgSz w:w="11906" w:h="16838" w:code="9"/>
      <w:pgMar w:top="1134" w:right="1701" w:bottom="1134" w:left="1701" w:header="720" w:footer="147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C1A26" w14:textId="77777777" w:rsidR="00D443B1" w:rsidRDefault="00D443B1">
      <w:r>
        <w:separator/>
      </w:r>
    </w:p>
  </w:endnote>
  <w:endnote w:type="continuationSeparator" w:id="0">
    <w:p w14:paraId="462EE2B7" w14:textId="77777777" w:rsidR="00D443B1" w:rsidRDefault="00D443B1">
      <w:r>
        <w:continuationSeparator/>
      </w:r>
    </w:p>
  </w:endnote>
  <w:endnote w:type="continuationNotice" w:id="1">
    <w:p w14:paraId="47832A13" w14:textId="77777777" w:rsidR="00D443B1" w:rsidRDefault="00D443B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61FE"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1899417D" w14:textId="77777777" w:rsidR="001918F6" w:rsidRDefault="001918F6">
    <w:pPr>
      <w:pStyle w:val="Footer"/>
    </w:pPr>
  </w:p>
  <w:p w14:paraId="4A7227AF" w14:textId="77777777" w:rsidR="00DC76CB" w:rsidRDefault="00DC76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EEE8B" w14:textId="77777777" w:rsidR="00502984" w:rsidRDefault="00502984" w:rsidP="003E7906">
    <w:pPr>
      <w:pStyle w:val="Footer"/>
    </w:pPr>
  </w:p>
  <w:p w14:paraId="1B620A43" w14:textId="77777777" w:rsidR="00DC76CB" w:rsidRDefault="00E34C55" w:rsidP="00502984">
    <w:pPr>
      <w:pStyle w:val="Footer"/>
      <w:jc w:val="center"/>
    </w:pPr>
    <w:r w:rsidRPr="00502984">
      <w:fldChar w:fldCharType="begin"/>
    </w:r>
    <w:r w:rsidRPr="00502984">
      <w:instrText xml:space="preserve">PAGE  </w:instrText>
    </w:r>
    <w:r w:rsidRPr="00502984">
      <w:fldChar w:fldCharType="separate"/>
    </w:r>
    <w:r w:rsidR="00502984">
      <w:rPr>
        <w:noProof/>
      </w:rPr>
      <w:t>2</w:t>
    </w:r>
    <w:r w:rsidRPr="0050298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pPr w:leftFromText="187" w:rightFromText="187" w:vertAnchor="page" w:horzAnchor="page" w:tblpX="1702" w:tblpY="15083"/>
      <w:tblOverlap w:val="never"/>
      <w:tblW w:w="8489" w:type="dxa"/>
      <w:tblBorders>
        <w:top w:val="none" w:sz="0" w:space="0" w:color="auto"/>
        <w:left w:val="single" w:sz="12" w:space="0" w:color="FFD700"/>
        <w:bottom w:val="none" w:sz="0" w:space="0" w:color="auto"/>
        <w:right w:val="none" w:sz="0" w:space="0" w:color="auto"/>
        <w:insideH w:val="single" w:sz="12" w:space="0" w:color="FFD700"/>
        <w:insideV w:val="single" w:sz="12" w:space="0" w:color="FFD700"/>
      </w:tblBorders>
      <w:tblCellMar>
        <w:left w:w="227" w:type="dxa"/>
        <w:right w:w="0" w:type="dxa"/>
      </w:tblCellMar>
      <w:tblLook w:val="04A0" w:firstRow="1" w:lastRow="0" w:firstColumn="1" w:lastColumn="0" w:noHBand="0" w:noVBand="1"/>
    </w:tblPr>
    <w:tblGrid>
      <w:gridCol w:w="4240"/>
      <w:gridCol w:w="4249"/>
    </w:tblGrid>
    <w:tr w:rsidR="00E84930" w:rsidRPr="00CB5A86" w14:paraId="673C9426" w14:textId="77777777" w:rsidTr="00BD4843">
      <w:tc>
        <w:tcPr>
          <w:tcW w:w="4244" w:type="dxa"/>
          <w:shd w:val="clear" w:color="auto" w:fill="auto"/>
          <w:noWrap/>
          <w:vAlign w:val="bottom"/>
        </w:tcPr>
        <w:p w14:paraId="3B2DCE80" w14:textId="77777777" w:rsidR="00E84930" w:rsidRPr="00CB5A86" w:rsidRDefault="00E84930" w:rsidP="00BD4843">
          <w:pPr>
            <w:pStyle w:val="Prospectaddress"/>
          </w:pPr>
          <w:r w:rsidRPr="00CB5A86">
            <w:t>New Prospect House</w:t>
          </w:r>
        </w:p>
        <w:p w14:paraId="6757CD2E" w14:textId="77777777" w:rsidR="00E84930" w:rsidRPr="009E6FEE" w:rsidRDefault="00E84930" w:rsidP="00BD4843">
          <w:pPr>
            <w:pStyle w:val="Prospectaddress"/>
          </w:pPr>
          <w:r w:rsidRPr="009E6FEE">
            <w:t>8 Leake Street</w:t>
          </w:r>
        </w:p>
        <w:p w14:paraId="2E673EE5" w14:textId="77777777" w:rsidR="00E84930" w:rsidRPr="00CB5A86" w:rsidRDefault="00E84930" w:rsidP="00BD4843">
          <w:pPr>
            <w:pStyle w:val="Prospectaddress"/>
          </w:pPr>
          <w:r w:rsidRPr="00CB5A86">
            <w:t>London</w:t>
          </w:r>
        </w:p>
        <w:p w14:paraId="49E4A138" w14:textId="77777777" w:rsidR="00E84930" w:rsidRPr="00CB5A86" w:rsidRDefault="00E84930" w:rsidP="00BD4843">
          <w:pPr>
            <w:pStyle w:val="Prospectaddress"/>
          </w:pPr>
          <w:r w:rsidRPr="00CB5A86">
            <w:t>SE1 7NN</w:t>
          </w:r>
        </w:p>
      </w:tc>
      <w:tc>
        <w:tcPr>
          <w:tcW w:w="4245" w:type="dxa"/>
          <w:shd w:val="clear" w:color="auto" w:fill="auto"/>
          <w:noWrap/>
          <w:vAlign w:val="bottom"/>
        </w:tcPr>
        <w:p w14:paraId="6309CCDD" w14:textId="77777777" w:rsidR="00E84930" w:rsidRPr="00CB5A86" w:rsidRDefault="00E84930" w:rsidP="00BD4843">
          <w:pPr>
            <w:pStyle w:val="Prospectaddress"/>
          </w:pPr>
          <w:r w:rsidRPr="00CB5A86">
            <w:t>0300 600 1878</w:t>
          </w:r>
        </w:p>
        <w:p w14:paraId="0A052D3B" w14:textId="77777777" w:rsidR="00E84930" w:rsidRPr="00CB5A86" w:rsidRDefault="00E84930" w:rsidP="00BD4843">
          <w:pPr>
            <w:pStyle w:val="Prospectaddress"/>
          </w:pPr>
          <w:r w:rsidRPr="00F660E2">
            <w:t>info@prospect.org.uk</w:t>
          </w:r>
        </w:p>
        <w:p w14:paraId="03A4D5FA" w14:textId="77777777" w:rsidR="00E84930" w:rsidRPr="00CB5A86" w:rsidRDefault="00E84930" w:rsidP="00BD4843">
          <w:pPr>
            <w:pStyle w:val="Prospectaddress"/>
          </w:pPr>
        </w:p>
        <w:p w14:paraId="65B18B5E" w14:textId="77777777" w:rsidR="00E84930" w:rsidRPr="00CB5A86" w:rsidRDefault="00E84930" w:rsidP="00BD4843">
          <w:pPr>
            <w:pStyle w:val="Prospectaddress"/>
          </w:pPr>
          <w:r w:rsidRPr="00CB5A86">
            <w:t>prospect.org.uk</w:t>
          </w:r>
        </w:p>
      </w:tc>
    </w:tr>
  </w:tbl>
  <w:p w14:paraId="1A0C7170" w14:textId="77777777" w:rsidR="00193849" w:rsidRDefault="00193849" w:rsidP="00E84930">
    <w:pPr>
      <w:pStyle w:val="Footer"/>
      <w:spacing w:afterLines="60" w:after="144"/>
      <w:rPr>
        <w:sz w:val="17"/>
      </w:rPr>
    </w:pPr>
  </w:p>
  <w:p w14:paraId="6A68A449" w14:textId="77777777" w:rsidR="003E7906" w:rsidRPr="003E7906" w:rsidRDefault="003E7906" w:rsidP="003E79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F2360" w14:textId="77777777" w:rsidR="00D443B1" w:rsidRDefault="00D443B1">
      <w:r>
        <w:separator/>
      </w:r>
    </w:p>
  </w:footnote>
  <w:footnote w:type="continuationSeparator" w:id="0">
    <w:p w14:paraId="30A808B8" w14:textId="77777777" w:rsidR="00D443B1" w:rsidRDefault="00D443B1">
      <w:r>
        <w:continuationSeparator/>
      </w:r>
    </w:p>
  </w:footnote>
  <w:footnote w:type="continuationNotice" w:id="1">
    <w:p w14:paraId="2FFFCE6A" w14:textId="77777777" w:rsidR="00D443B1" w:rsidRDefault="00D443B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8A073" w14:textId="77777777" w:rsidR="00193849" w:rsidRDefault="00A540F0">
    <w:r>
      <w:rPr>
        <w:noProof/>
      </w:rPr>
      <w:drawing>
        <wp:anchor distT="0" distB="0" distL="114300" distR="114300" simplePos="0" relativeHeight="251658240" behindDoc="0" locked="0" layoutInCell="1" allowOverlap="1" wp14:anchorId="44E822D2" wp14:editId="188CBB91">
          <wp:simplePos x="0" y="0"/>
          <wp:positionH relativeFrom="page">
            <wp:align>center</wp:align>
          </wp:positionH>
          <wp:positionV relativeFrom="page">
            <wp:posOffset>453390</wp:posOffset>
          </wp:positionV>
          <wp:extent cx="2001600" cy="1004400"/>
          <wp:effectExtent l="0" t="0" r="5080" b="0"/>
          <wp:wrapTight wrapText="bothSides">
            <wp:wrapPolygon edited="0">
              <wp:start x="10827" y="0"/>
              <wp:lineTo x="6579" y="4918"/>
              <wp:lineTo x="4797" y="5192"/>
              <wp:lineTo x="4523" y="5738"/>
              <wp:lineTo x="4934" y="9290"/>
              <wp:lineTo x="0" y="12569"/>
              <wp:lineTo x="0" y="21313"/>
              <wp:lineTo x="10964" y="21313"/>
              <wp:lineTo x="21518" y="19127"/>
              <wp:lineTo x="21518" y="13662"/>
              <wp:lineTo x="20970" y="13662"/>
              <wp:lineTo x="21244" y="12023"/>
              <wp:lineTo x="19325" y="10930"/>
              <wp:lineTo x="11924" y="9290"/>
              <wp:lineTo x="19599" y="9290"/>
              <wp:lineTo x="20970" y="8744"/>
              <wp:lineTo x="20695" y="4918"/>
              <wp:lineTo x="21381" y="1366"/>
              <wp:lineTo x="20558" y="1093"/>
              <wp:lineTo x="12061" y="0"/>
              <wp:lineTo x="1082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ospect_Logo_Black_RGB-300dpi.png"/>
                  <pic:cNvPicPr/>
                </pic:nvPicPr>
                <pic:blipFill>
                  <a:blip r:embed="rId1">
                    <a:extLst>
                      <a:ext uri="{28A0092B-C50C-407E-A947-70E740481C1C}">
                        <a14:useLocalDpi xmlns:a14="http://schemas.microsoft.com/office/drawing/2010/main" val="0"/>
                      </a:ext>
                    </a:extLst>
                  </a:blip>
                  <a:stretch>
                    <a:fillRect/>
                  </a:stretch>
                </pic:blipFill>
                <pic:spPr>
                  <a:xfrm>
                    <a:off x="0" y="0"/>
                    <a:ext cx="20016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4254"/>
    <w:multiLevelType w:val="multilevel"/>
    <w:tmpl w:val="969A10FC"/>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 w15:restartNumberingAfterBreak="0">
    <w:nsid w:val="08EA176B"/>
    <w:multiLevelType w:val="hybridMultilevel"/>
    <w:tmpl w:val="5352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607DD"/>
    <w:multiLevelType w:val="hybridMultilevel"/>
    <w:tmpl w:val="CC4C3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62C4C"/>
    <w:multiLevelType w:val="hybridMultilevel"/>
    <w:tmpl w:val="8DC07ADC"/>
    <w:lvl w:ilvl="0" w:tplc="CDF6F17A">
      <w:start w:val="1"/>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5" w15:restartNumberingAfterBreak="0">
    <w:nsid w:val="2F2E2FF1"/>
    <w:multiLevelType w:val="hybridMultilevel"/>
    <w:tmpl w:val="C6567008"/>
    <w:lvl w:ilvl="0" w:tplc="95207B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7E28E2"/>
    <w:multiLevelType w:val="hybridMultilevel"/>
    <w:tmpl w:val="C29C7E72"/>
    <w:lvl w:ilvl="0" w:tplc="E7788DA0">
      <w:start w:val="5"/>
      <w:numFmt w:val="bullet"/>
      <w:lvlText w:val=""/>
      <w:lvlJc w:val="left"/>
      <w:pPr>
        <w:ind w:left="720" w:hanging="360"/>
      </w:pPr>
      <w:rPr>
        <w:rFonts w:ascii="Symbol" w:eastAsia="Time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76237"/>
    <w:multiLevelType w:val="hybridMultilevel"/>
    <w:tmpl w:val="CD4A4D8A"/>
    <w:lvl w:ilvl="0" w:tplc="50EE2E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874A9A"/>
    <w:multiLevelType w:val="hybridMultilevel"/>
    <w:tmpl w:val="C9B84CBE"/>
    <w:lvl w:ilvl="0" w:tplc="B6D0C5EE">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96BB9"/>
    <w:multiLevelType w:val="hybridMultilevel"/>
    <w:tmpl w:val="3B8A6A06"/>
    <w:lvl w:ilvl="0" w:tplc="99D625EC">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55429"/>
    <w:multiLevelType w:val="hybridMultilevel"/>
    <w:tmpl w:val="F9C458FA"/>
    <w:lvl w:ilvl="0" w:tplc="5D3C44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49D10859"/>
    <w:multiLevelType w:val="hybridMultilevel"/>
    <w:tmpl w:val="FBC09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403FB9"/>
    <w:multiLevelType w:val="hybridMultilevel"/>
    <w:tmpl w:val="CF3251EA"/>
    <w:lvl w:ilvl="0" w:tplc="618CCAD4">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1C1AD3"/>
    <w:multiLevelType w:val="hybridMultilevel"/>
    <w:tmpl w:val="A22ABB48"/>
    <w:lvl w:ilvl="0" w:tplc="B408230A">
      <w:start w:val="5"/>
      <w:numFmt w:val="bullet"/>
      <w:lvlText w:val=""/>
      <w:lvlJc w:val="left"/>
      <w:pPr>
        <w:ind w:left="720" w:hanging="360"/>
      </w:pPr>
      <w:rPr>
        <w:rFonts w:ascii="Symbol" w:eastAsia="Time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EB1F88"/>
    <w:multiLevelType w:val="hybridMultilevel"/>
    <w:tmpl w:val="9B849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4A63FC"/>
    <w:multiLevelType w:val="hybridMultilevel"/>
    <w:tmpl w:val="CB8E7F8C"/>
    <w:lvl w:ilvl="0" w:tplc="36941B04">
      <w:start w:val="5"/>
      <w:numFmt w:val="bullet"/>
      <w:lvlText w:val=""/>
      <w:lvlJc w:val="left"/>
      <w:pPr>
        <w:ind w:left="720" w:hanging="360"/>
      </w:pPr>
      <w:rPr>
        <w:rFonts w:ascii="Symbol" w:eastAsia="Time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4B26E1"/>
    <w:multiLevelType w:val="hybridMultilevel"/>
    <w:tmpl w:val="97121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5C724E"/>
    <w:multiLevelType w:val="hybridMultilevel"/>
    <w:tmpl w:val="34285154"/>
    <w:lvl w:ilvl="0" w:tplc="DEF84E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576A5808"/>
    <w:multiLevelType w:val="hybridMultilevel"/>
    <w:tmpl w:val="4E92C082"/>
    <w:lvl w:ilvl="0" w:tplc="C97C2726">
      <w:start w:val="76"/>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DA016B"/>
    <w:multiLevelType w:val="hybridMultilevel"/>
    <w:tmpl w:val="80FA6CC2"/>
    <w:lvl w:ilvl="0" w:tplc="881875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8305DA"/>
    <w:multiLevelType w:val="multilevel"/>
    <w:tmpl w:val="410858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4E70F10"/>
    <w:multiLevelType w:val="hybridMultilevel"/>
    <w:tmpl w:val="0B841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6C4313"/>
    <w:multiLevelType w:val="hybridMultilevel"/>
    <w:tmpl w:val="09E268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2D5139"/>
    <w:multiLevelType w:val="hybridMultilevel"/>
    <w:tmpl w:val="15722F94"/>
    <w:lvl w:ilvl="0" w:tplc="2FE6DD36">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54357F"/>
    <w:multiLevelType w:val="hybridMultilevel"/>
    <w:tmpl w:val="7F820FB8"/>
    <w:lvl w:ilvl="0" w:tplc="BD8650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F62D78"/>
    <w:multiLevelType w:val="hybridMultilevel"/>
    <w:tmpl w:val="3D344CF0"/>
    <w:lvl w:ilvl="0" w:tplc="83EA0C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3954042">
    <w:abstractNumId w:val="11"/>
  </w:num>
  <w:num w:numId="2" w16cid:durableId="1715232958">
    <w:abstractNumId w:val="0"/>
  </w:num>
  <w:num w:numId="3" w16cid:durableId="1493254482">
    <w:abstractNumId w:val="4"/>
  </w:num>
  <w:num w:numId="4" w16cid:durableId="255136487">
    <w:abstractNumId w:val="20"/>
  </w:num>
  <w:num w:numId="5" w16cid:durableId="1383752076">
    <w:abstractNumId w:val="22"/>
  </w:num>
  <w:num w:numId="6" w16cid:durableId="1309746802">
    <w:abstractNumId w:val="15"/>
  </w:num>
  <w:num w:numId="7" w16cid:durableId="842815215">
    <w:abstractNumId w:val="4"/>
  </w:num>
  <w:num w:numId="8" w16cid:durableId="1734884862">
    <w:abstractNumId w:val="4"/>
  </w:num>
  <w:num w:numId="9" w16cid:durableId="849218376">
    <w:abstractNumId w:val="4"/>
  </w:num>
  <w:num w:numId="10" w16cid:durableId="1927036047">
    <w:abstractNumId w:val="4"/>
  </w:num>
  <w:num w:numId="11" w16cid:durableId="465926257">
    <w:abstractNumId w:val="4"/>
  </w:num>
  <w:num w:numId="12" w16cid:durableId="1258295137">
    <w:abstractNumId w:val="0"/>
  </w:num>
  <w:num w:numId="13" w16cid:durableId="1436095390">
    <w:abstractNumId w:val="0"/>
  </w:num>
  <w:num w:numId="14" w16cid:durableId="851838890">
    <w:abstractNumId w:val="0"/>
  </w:num>
  <w:num w:numId="15" w16cid:durableId="1967081088">
    <w:abstractNumId w:val="0"/>
  </w:num>
  <w:num w:numId="16" w16cid:durableId="1659963597">
    <w:abstractNumId w:val="0"/>
  </w:num>
  <w:num w:numId="17" w16cid:durableId="1252156349">
    <w:abstractNumId w:val="4"/>
  </w:num>
  <w:num w:numId="18" w16cid:durableId="18437373">
    <w:abstractNumId w:val="25"/>
  </w:num>
  <w:num w:numId="19" w16cid:durableId="1026097204">
    <w:abstractNumId w:val="12"/>
  </w:num>
  <w:num w:numId="20" w16cid:durableId="1527136508">
    <w:abstractNumId w:val="2"/>
  </w:num>
  <w:num w:numId="21" w16cid:durableId="369380490">
    <w:abstractNumId w:val="1"/>
  </w:num>
  <w:num w:numId="22" w16cid:durableId="1776247383">
    <w:abstractNumId w:val="16"/>
  </w:num>
  <w:num w:numId="23" w16cid:durableId="215703384">
    <w:abstractNumId w:val="18"/>
  </w:num>
  <w:num w:numId="24" w16cid:durableId="15422536">
    <w:abstractNumId w:val="27"/>
  </w:num>
  <w:num w:numId="25" w16cid:durableId="779490096">
    <w:abstractNumId w:val="28"/>
  </w:num>
  <w:num w:numId="26" w16cid:durableId="3556323">
    <w:abstractNumId w:val="19"/>
  </w:num>
  <w:num w:numId="27" w16cid:durableId="281306371">
    <w:abstractNumId w:val="5"/>
  </w:num>
  <w:num w:numId="28" w16cid:durableId="1369062434">
    <w:abstractNumId w:val="10"/>
  </w:num>
  <w:num w:numId="29" w16cid:durableId="1844926802">
    <w:abstractNumId w:val="23"/>
  </w:num>
  <w:num w:numId="30" w16cid:durableId="1271472031">
    <w:abstractNumId w:val="7"/>
  </w:num>
  <w:num w:numId="31" w16cid:durableId="2010331395">
    <w:abstractNumId w:val="8"/>
  </w:num>
  <w:num w:numId="32" w16cid:durableId="2120641214">
    <w:abstractNumId w:val="3"/>
  </w:num>
  <w:num w:numId="33" w16cid:durableId="1910650481">
    <w:abstractNumId w:val="9"/>
  </w:num>
  <w:num w:numId="34" w16cid:durableId="1748192538">
    <w:abstractNumId w:val="17"/>
  </w:num>
  <w:num w:numId="35" w16cid:durableId="1177697923">
    <w:abstractNumId w:val="14"/>
  </w:num>
  <w:num w:numId="36" w16cid:durableId="1112867579">
    <w:abstractNumId w:val="6"/>
  </w:num>
  <w:num w:numId="37" w16cid:durableId="2799946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5192334">
    <w:abstractNumId w:val="21"/>
  </w:num>
  <w:num w:numId="39" w16cid:durableId="981085063">
    <w:abstractNumId w:val="26"/>
  </w:num>
  <w:num w:numId="40" w16cid:durableId="681514586">
    <w:abstractNumId w:val="13"/>
  </w:num>
  <w:num w:numId="41" w16cid:durableId="276177586">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767"/>
    <w:rsid w:val="00013310"/>
    <w:rsid w:val="00014F56"/>
    <w:rsid w:val="00016562"/>
    <w:rsid w:val="000211BF"/>
    <w:rsid w:val="000212EC"/>
    <w:rsid w:val="00025ECB"/>
    <w:rsid w:val="000310FC"/>
    <w:rsid w:val="0003129C"/>
    <w:rsid w:val="00032DF0"/>
    <w:rsid w:val="00036551"/>
    <w:rsid w:val="00036FE1"/>
    <w:rsid w:val="00040510"/>
    <w:rsid w:val="000508A7"/>
    <w:rsid w:val="00051262"/>
    <w:rsid w:val="000551A3"/>
    <w:rsid w:val="00064583"/>
    <w:rsid w:val="00071C00"/>
    <w:rsid w:val="000765A0"/>
    <w:rsid w:val="000778C0"/>
    <w:rsid w:val="00082524"/>
    <w:rsid w:val="000862AF"/>
    <w:rsid w:val="00090328"/>
    <w:rsid w:val="000A5C12"/>
    <w:rsid w:val="000B3463"/>
    <w:rsid w:val="000C0300"/>
    <w:rsid w:val="000C56EC"/>
    <w:rsid w:val="000E36A4"/>
    <w:rsid w:val="000E7316"/>
    <w:rsid w:val="000F3F26"/>
    <w:rsid w:val="001004E8"/>
    <w:rsid w:val="00101FC5"/>
    <w:rsid w:val="0010209C"/>
    <w:rsid w:val="00105D2D"/>
    <w:rsid w:val="001105C4"/>
    <w:rsid w:val="00114253"/>
    <w:rsid w:val="00120B43"/>
    <w:rsid w:val="00120F3A"/>
    <w:rsid w:val="00124237"/>
    <w:rsid w:val="00134E85"/>
    <w:rsid w:val="00140EA5"/>
    <w:rsid w:val="00141B29"/>
    <w:rsid w:val="00141D08"/>
    <w:rsid w:val="00142DAD"/>
    <w:rsid w:val="001465A5"/>
    <w:rsid w:val="0014661E"/>
    <w:rsid w:val="00146F22"/>
    <w:rsid w:val="0014748E"/>
    <w:rsid w:val="00147CDD"/>
    <w:rsid w:val="001520AF"/>
    <w:rsid w:val="0015465B"/>
    <w:rsid w:val="001614D3"/>
    <w:rsid w:val="00166A87"/>
    <w:rsid w:val="00167C0A"/>
    <w:rsid w:val="0017151A"/>
    <w:rsid w:val="00172AC2"/>
    <w:rsid w:val="00172CCE"/>
    <w:rsid w:val="00174357"/>
    <w:rsid w:val="00182490"/>
    <w:rsid w:val="00183D96"/>
    <w:rsid w:val="00184266"/>
    <w:rsid w:val="00184B25"/>
    <w:rsid w:val="001915D4"/>
    <w:rsid w:val="001918F6"/>
    <w:rsid w:val="001928F2"/>
    <w:rsid w:val="00193849"/>
    <w:rsid w:val="00195490"/>
    <w:rsid w:val="001A3510"/>
    <w:rsid w:val="001A4799"/>
    <w:rsid w:val="001B4810"/>
    <w:rsid w:val="001C4B99"/>
    <w:rsid w:val="001D7F2A"/>
    <w:rsid w:val="001E3AD5"/>
    <w:rsid w:val="001E7E4F"/>
    <w:rsid w:val="001F1C96"/>
    <w:rsid w:val="002002E8"/>
    <w:rsid w:val="00203500"/>
    <w:rsid w:val="00205C5E"/>
    <w:rsid w:val="00206CFB"/>
    <w:rsid w:val="00212620"/>
    <w:rsid w:val="002161AA"/>
    <w:rsid w:val="0021678A"/>
    <w:rsid w:val="00217B1E"/>
    <w:rsid w:val="00231672"/>
    <w:rsid w:val="00244EF3"/>
    <w:rsid w:val="00264E51"/>
    <w:rsid w:val="00273490"/>
    <w:rsid w:val="0028397E"/>
    <w:rsid w:val="00286F50"/>
    <w:rsid w:val="00286FDE"/>
    <w:rsid w:val="00291C00"/>
    <w:rsid w:val="002A1686"/>
    <w:rsid w:val="002A3A0B"/>
    <w:rsid w:val="002A5B2E"/>
    <w:rsid w:val="002A7CBC"/>
    <w:rsid w:val="002B321D"/>
    <w:rsid w:val="002B48FC"/>
    <w:rsid w:val="002B6601"/>
    <w:rsid w:val="002B671A"/>
    <w:rsid w:val="002B7857"/>
    <w:rsid w:val="002C78EF"/>
    <w:rsid w:val="002E0E08"/>
    <w:rsid w:val="002E1B54"/>
    <w:rsid w:val="002E2A35"/>
    <w:rsid w:val="002F1017"/>
    <w:rsid w:val="002F6C58"/>
    <w:rsid w:val="00304FFA"/>
    <w:rsid w:val="0030580C"/>
    <w:rsid w:val="00306181"/>
    <w:rsid w:val="00310264"/>
    <w:rsid w:val="003132D7"/>
    <w:rsid w:val="00314895"/>
    <w:rsid w:val="003209DD"/>
    <w:rsid w:val="00327BA4"/>
    <w:rsid w:val="003304BA"/>
    <w:rsid w:val="00330BF4"/>
    <w:rsid w:val="003324CD"/>
    <w:rsid w:val="00334649"/>
    <w:rsid w:val="00334CE5"/>
    <w:rsid w:val="003425DB"/>
    <w:rsid w:val="003442CB"/>
    <w:rsid w:val="003464C5"/>
    <w:rsid w:val="00347A79"/>
    <w:rsid w:val="00353FC0"/>
    <w:rsid w:val="00364F0E"/>
    <w:rsid w:val="00366762"/>
    <w:rsid w:val="00370B1F"/>
    <w:rsid w:val="00372C78"/>
    <w:rsid w:val="003808A6"/>
    <w:rsid w:val="00383DD5"/>
    <w:rsid w:val="00384EEC"/>
    <w:rsid w:val="00385C4D"/>
    <w:rsid w:val="00396FE0"/>
    <w:rsid w:val="003A0D85"/>
    <w:rsid w:val="003A40E1"/>
    <w:rsid w:val="003A579B"/>
    <w:rsid w:val="003A7F1E"/>
    <w:rsid w:val="003B14D3"/>
    <w:rsid w:val="003B2FE9"/>
    <w:rsid w:val="003B4D0F"/>
    <w:rsid w:val="003C01F3"/>
    <w:rsid w:val="003C2264"/>
    <w:rsid w:val="003E1657"/>
    <w:rsid w:val="003E1D45"/>
    <w:rsid w:val="003E458B"/>
    <w:rsid w:val="003E7906"/>
    <w:rsid w:val="003F25C3"/>
    <w:rsid w:val="003F2E57"/>
    <w:rsid w:val="003F3497"/>
    <w:rsid w:val="003F37EE"/>
    <w:rsid w:val="003F7C4D"/>
    <w:rsid w:val="004029B4"/>
    <w:rsid w:val="004053B9"/>
    <w:rsid w:val="004106EB"/>
    <w:rsid w:val="00413AC6"/>
    <w:rsid w:val="00414BD8"/>
    <w:rsid w:val="00423A64"/>
    <w:rsid w:val="0043169F"/>
    <w:rsid w:val="00440979"/>
    <w:rsid w:val="00441471"/>
    <w:rsid w:val="00443B66"/>
    <w:rsid w:val="00461FB6"/>
    <w:rsid w:val="004634E2"/>
    <w:rsid w:val="004701D5"/>
    <w:rsid w:val="00472A9D"/>
    <w:rsid w:val="0047381D"/>
    <w:rsid w:val="00474849"/>
    <w:rsid w:val="004869E7"/>
    <w:rsid w:val="00487A42"/>
    <w:rsid w:val="004915D6"/>
    <w:rsid w:val="00491E67"/>
    <w:rsid w:val="00493AB3"/>
    <w:rsid w:val="004A7C15"/>
    <w:rsid w:val="004B210C"/>
    <w:rsid w:val="004B48BA"/>
    <w:rsid w:val="004B58B5"/>
    <w:rsid w:val="004B6577"/>
    <w:rsid w:val="004B6757"/>
    <w:rsid w:val="004C0C19"/>
    <w:rsid w:val="004C0C7A"/>
    <w:rsid w:val="004C29D9"/>
    <w:rsid w:val="004C31A4"/>
    <w:rsid w:val="004C5381"/>
    <w:rsid w:val="004D774E"/>
    <w:rsid w:val="004E7431"/>
    <w:rsid w:val="004F553A"/>
    <w:rsid w:val="005016EF"/>
    <w:rsid w:val="00502984"/>
    <w:rsid w:val="00510700"/>
    <w:rsid w:val="00512EB5"/>
    <w:rsid w:val="00521A6D"/>
    <w:rsid w:val="00521E08"/>
    <w:rsid w:val="005234DB"/>
    <w:rsid w:val="00523A65"/>
    <w:rsid w:val="00543639"/>
    <w:rsid w:val="00543E43"/>
    <w:rsid w:val="00544B6D"/>
    <w:rsid w:val="005460B4"/>
    <w:rsid w:val="00552B2E"/>
    <w:rsid w:val="005619C8"/>
    <w:rsid w:val="00562BC2"/>
    <w:rsid w:val="00582ABE"/>
    <w:rsid w:val="00583DAF"/>
    <w:rsid w:val="00586A5D"/>
    <w:rsid w:val="005A06A5"/>
    <w:rsid w:val="005A0AD8"/>
    <w:rsid w:val="005A29F3"/>
    <w:rsid w:val="005A6629"/>
    <w:rsid w:val="005A669A"/>
    <w:rsid w:val="005B1209"/>
    <w:rsid w:val="005B38C8"/>
    <w:rsid w:val="005B622E"/>
    <w:rsid w:val="005C6CE1"/>
    <w:rsid w:val="005D618A"/>
    <w:rsid w:val="005D6B06"/>
    <w:rsid w:val="005E6926"/>
    <w:rsid w:val="005F0B34"/>
    <w:rsid w:val="005F17E8"/>
    <w:rsid w:val="00602FDA"/>
    <w:rsid w:val="00617BB4"/>
    <w:rsid w:val="006404CE"/>
    <w:rsid w:val="00643A7A"/>
    <w:rsid w:val="006546C9"/>
    <w:rsid w:val="00661698"/>
    <w:rsid w:val="00662F22"/>
    <w:rsid w:val="006674AC"/>
    <w:rsid w:val="00667E2B"/>
    <w:rsid w:val="00687269"/>
    <w:rsid w:val="00690D3F"/>
    <w:rsid w:val="006A2192"/>
    <w:rsid w:val="006A47FD"/>
    <w:rsid w:val="006A58B6"/>
    <w:rsid w:val="006A5FAF"/>
    <w:rsid w:val="006A6353"/>
    <w:rsid w:val="006C02C7"/>
    <w:rsid w:val="006C3FD0"/>
    <w:rsid w:val="006C455B"/>
    <w:rsid w:val="006C7C77"/>
    <w:rsid w:val="006D3043"/>
    <w:rsid w:val="006D3866"/>
    <w:rsid w:val="006E246D"/>
    <w:rsid w:val="006E2678"/>
    <w:rsid w:val="00705F7F"/>
    <w:rsid w:val="0070749E"/>
    <w:rsid w:val="0071418C"/>
    <w:rsid w:val="00714DD5"/>
    <w:rsid w:val="007152A9"/>
    <w:rsid w:val="00715A47"/>
    <w:rsid w:val="007173C4"/>
    <w:rsid w:val="00720619"/>
    <w:rsid w:val="00724101"/>
    <w:rsid w:val="00730EC8"/>
    <w:rsid w:val="007328F4"/>
    <w:rsid w:val="007363DE"/>
    <w:rsid w:val="007461E5"/>
    <w:rsid w:val="007510EB"/>
    <w:rsid w:val="00752F15"/>
    <w:rsid w:val="00763F85"/>
    <w:rsid w:val="0076604D"/>
    <w:rsid w:val="007667E6"/>
    <w:rsid w:val="00767064"/>
    <w:rsid w:val="00771506"/>
    <w:rsid w:val="0077272C"/>
    <w:rsid w:val="0077318B"/>
    <w:rsid w:val="00774DDD"/>
    <w:rsid w:val="0077671D"/>
    <w:rsid w:val="0078199F"/>
    <w:rsid w:val="007905A6"/>
    <w:rsid w:val="00796DB0"/>
    <w:rsid w:val="007A02AA"/>
    <w:rsid w:val="007A0F5B"/>
    <w:rsid w:val="007A32D1"/>
    <w:rsid w:val="007A4ACC"/>
    <w:rsid w:val="007B2AB0"/>
    <w:rsid w:val="007C191E"/>
    <w:rsid w:val="007C42BD"/>
    <w:rsid w:val="007D5AE7"/>
    <w:rsid w:val="007D6C4A"/>
    <w:rsid w:val="007E2BDB"/>
    <w:rsid w:val="007E3E56"/>
    <w:rsid w:val="007E798B"/>
    <w:rsid w:val="007F0C4D"/>
    <w:rsid w:val="007F4B7B"/>
    <w:rsid w:val="00813303"/>
    <w:rsid w:val="00820CB4"/>
    <w:rsid w:val="0082346E"/>
    <w:rsid w:val="0083192C"/>
    <w:rsid w:val="00840D53"/>
    <w:rsid w:val="00851A5A"/>
    <w:rsid w:val="0085207E"/>
    <w:rsid w:val="00867417"/>
    <w:rsid w:val="0087368B"/>
    <w:rsid w:val="00874D2E"/>
    <w:rsid w:val="00877768"/>
    <w:rsid w:val="0088285D"/>
    <w:rsid w:val="008829EC"/>
    <w:rsid w:val="00883CBA"/>
    <w:rsid w:val="0088756F"/>
    <w:rsid w:val="00892190"/>
    <w:rsid w:val="008A3EC1"/>
    <w:rsid w:val="008A4B16"/>
    <w:rsid w:val="008B0412"/>
    <w:rsid w:val="008B50D5"/>
    <w:rsid w:val="008C21D0"/>
    <w:rsid w:val="008C529C"/>
    <w:rsid w:val="008E0B5F"/>
    <w:rsid w:val="008E2457"/>
    <w:rsid w:val="008E29C6"/>
    <w:rsid w:val="008E6030"/>
    <w:rsid w:val="008E6297"/>
    <w:rsid w:val="008F28D5"/>
    <w:rsid w:val="008F4AD4"/>
    <w:rsid w:val="008F5A25"/>
    <w:rsid w:val="0090150D"/>
    <w:rsid w:val="00903DAB"/>
    <w:rsid w:val="00904A54"/>
    <w:rsid w:val="00907A33"/>
    <w:rsid w:val="00907F04"/>
    <w:rsid w:val="009174D7"/>
    <w:rsid w:val="00917D5E"/>
    <w:rsid w:val="00920DB2"/>
    <w:rsid w:val="00922E61"/>
    <w:rsid w:val="00923AA2"/>
    <w:rsid w:val="00930C11"/>
    <w:rsid w:val="00931D42"/>
    <w:rsid w:val="00932195"/>
    <w:rsid w:val="00943133"/>
    <w:rsid w:val="00950594"/>
    <w:rsid w:val="00953586"/>
    <w:rsid w:val="00962559"/>
    <w:rsid w:val="009637B8"/>
    <w:rsid w:val="00963CB6"/>
    <w:rsid w:val="009649A2"/>
    <w:rsid w:val="00983ECA"/>
    <w:rsid w:val="009871FE"/>
    <w:rsid w:val="009935DF"/>
    <w:rsid w:val="00997CD5"/>
    <w:rsid w:val="009A0D84"/>
    <w:rsid w:val="009A49C1"/>
    <w:rsid w:val="009A54A2"/>
    <w:rsid w:val="009C687F"/>
    <w:rsid w:val="009D1B93"/>
    <w:rsid w:val="009D31CC"/>
    <w:rsid w:val="009E26EC"/>
    <w:rsid w:val="009E6C09"/>
    <w:rsid w:val="009F321C"/>
    <w:rsid w:val="009F4411"/>
    <w:rsid w:val="009F6A48"/>
    <w:rsid w:val="009F6CBB"/>
    <w:rsid w:val="009F7635"/>
    <w:rsid w:val="00A0020C"/>
    <w:rsid w:val="00A046BA"/>
    <w:rsid w:val="00A05E79"/>
    <w:rsid w:val="00A33A47"/>
    <w:rsid w:val="00A34C9A"/>
    <w:rsid w:val="00A373A1"/>
    <w:rsid w:val="00A439D7"/>
    <w:rsid w:val="00A528D9"/>
    <w:rsid w:val="00A540F0"/>
    <w:rsid w:val="00A56EEB"/>
    <w:rsid w:val="00A60963"/>
    <w:rsid w:val="00A61FD7"/>
    <w:rsid w:val="00A62F45"/>
    <w:rsid w:val="00A70578"/>
    <w:rsid w:val="00A710E5"/>
    <w:rsid w:val="00A71476"/>
    <w:rsid w:val="00A7292A"/>
    <w:rsid w:val="00A74916"/>
    <w:rsid w:val="00A75D83"/>
    <w:rsid w:val="00A9165D"/>
    <w:rsid w:val="00A91A9D"/>
    <w:rsid w:val="00AA07AC"/>
    <w:rsid w:val="00AA2C27"/>
    <w:rsid w:val="00AA32F6"/>
    <w:rsid w:val="00AA5EBB"/>
    <w:rsid w:val="00AA5FD5"/>
    <w:rsid w:val="00AA6575"/>
    <w:rsid w:val="00AB0079"/>
    <w:rsid w:val="00AB77F1"/>
    <w:rsid w:val="00AC01E0"/>
    <w:rsid w:val="00AC0AFF"/>
    <w:rsid w:val="00AC19B4"/>
    <w:rsid w:val="00AD0AA9"/>
    <w:rsid w:val="00AE02D7"/>
    <w:rsid w:val="00AE334A"/>
    <w:rsid w:val="00AE3D1F"/>
    <w:rsid w:val="00AE4FC7"/>
    <w:rsid w:val="00AE6FF4"/>
    <w:rsid w:val="00AE7B00"/>
    <w:rsid w:val="00AF3CAD"/>
    <w:rsid w:val="00AF6C73"/>
    <w:rsid w:val="00B008FC"/>
    <w:rsid w:val="00B0216E"/>
    <w:rsid w:val="00B154B3"/>
    <w:rsid w:val="00B159B5"/>
    <w:rsid w:val="00B24081"/>
    <w:rsid w:val="00B25791"/>
    <w:rsid w:val="00B265EF"/>
    <w:rsid w:val="00B26A2D"/>
    <w:rsid w:val="00B338D6"/>
    <w:rsid w:val="00B45760"/>
    <w:rsid w:val="00B462FF"/>
    <w:rsid w:val="00B46567"/>
    <w:rsid w:val="00B50816"/>
    <w:rsid w:val="00B515B0"/>
    <w:rsid w:val="00B6148A"/>
    <w:rsid w:val="00B71187"/>
    <w:rsid w:val="00B730AE"/>
    <w:rsid w:val="00B75BB7"/>
    <w:rsid w:val="00B75CE5"/>
    <w:rsid w:val="00B77C21"/>
    <w:rsid w:val="00B80A1B"/>
    <w:rsid w:val="00B84280"/>
    <w:rsid w:val="00B86A71"/>
    <w:rsid w:val="00B8719D"/>
    <w:rsid w:val="00B87B40"/>
    <w:rsid w:val="00B90E6F"/>
    <w:rsid w:val="00B91264"/>
    <w:rsid w:val="00B94307"/>
    <w:rsid w:val="00BA0C0E"/>
    <w:rsid w:val="00BA0E32"/>
    <w:rsid w:val="00BA6117"/>
    <w:rsid w:val="00BB2B8A"/>
    <w:rsid w:val="00BB38E4"/>
    <w:rsid w:val="00BC3599"/>
    <w:rsid w:val="00BC5099"/>
    <w:rsid w:val="00BD1F4B"/>
    <w:rsid w:val="00BD3475"/>
    <w:rsid w:val="00BD4843"/>
    <w:rsid w:val="00BD4F0E"/>
    <w:rsid w:val="00BD7F00"/>
    <w:rsid w:val="00BE000A"/>
    <w:rsid w:val="00BE6F47"/>
    <w:rsid w:val="00BF292B"/>
    <w:rsid w:val="00BF4AEF"/>
    <w:rsid w:val="00BF5016"/>
    <w:rsid w:val="00BF5B11"/>
    <w:rsid w:val="00BF6A25"/>
    <w:rsid w:val="00C14B16"/>
    <w:rsid w:val="00C2399C"/>
    <w:rsid w:val="00C25F43"/>
    <w:rsid w:val="00C32ED3"/>
    <w:rsid w:val="00C405BF"/>
    <w:rsid w:val="00C41497"/>
    <w:rsid w:val="00C537F4"/>
    <w:rsid w:val="00C5425F"/>
    <w:rsid w:val="00C545C7"/>
    <w:rsid w:val="00C60332"/>
    <w:rsid w:val="00C607AF"/>
    <w:rsid w:val="00C70AF4"/>
    <w:rsid w:val="00C72137"/>
    <w:rsid w:val="00C83D59"/>
    <w:rsid w:val="00C84201"/>
    <w:rsid w:val="00C8444F"/>
    <w:rsid w:val="00C877E6"/>
    <w:rsid w:val="00C87D87"/>
    <w:rsid w:val="00C92521"/>
    <w:rsid w:val="00C957C2"/>
    <w:rsid w:val="00CA426A"/>
    <w:rsid w:val="00CA482C"/>
    <w:rsid w:val="00CB051C"/>
    <w:rsid w:val="00CB6F48"/>
    <w:rsid w:val="00CB7554"/>
    <w:rsid w:val="00CC03EE"/>
    <w:rsid w:val="00CC63F6"/>
    <w:rsid w:val="00CC669F"/>
    <w:rsid w:val="00CD1DF7"/>
    <w:rsid w:val="00CD5223"/>
    <w:rsid w:val="00CE13A1"/>
    <w:rsid w:val="00CE50D4"/>
    <w:rsid w:val="00CE5148"/>
    <w:rsid w:val="00CE6C8E"/>
    <w:rsid w:val="00CF076F"/>
    <w:rsid w:val="00CF1116"/>
    <w:rsid w:val="00CF5787"/>
    <w:rsid w:val="00D00435"/>
    <w:rsid w:val="00D02B4A"/>
    <w:rsid w:val="00D056E7"/>
    <w:rsid w:val="00D078C5"/>
    <w:rsid w:val="00D110E9"/>
    <w:rsid w:val="00D240AB"/>
    <w:rsid w:val="00D37FEC"/>
    <w:rsid w:val="00D443B1"/>
    <w:rsid w:val="00D4490D"/>
    <w:rsid w:val="00D44FC5"/>
    <w:rsid w:val="00D4633A"/>
    <w:rsid w:val="00D50B9F"/>
    <w:rsid w:val="00D5603A"/>
    <w:rsid w:val="00D61541"/>
    <w:rsid w:val="00D625FF"/>
    <w:rsid w:val="00D65419"/>
    <w:rsid w:val="00D71B60"/>
    <w:rsid w:val="00D870CA"/>
    <w:rsid w:val="00D877AC"/>
    <w:rsid w:val="00D91B23"/>
    <w:rsid w:val="00D94935"/>
    <w:rsid w:val="00D95FC2"/>
    <w:rsid w:val="00DA00A3"/>
    <w:rsid w:val="00DA27B3"/>
    <w:rsid w:val="00DA60C0"/>
    <w:rsid w:val="00DB138B"/>
    <w:rsid w:val="00DB5606"/>
    <w:rsid w:val="00DB7A30"/>
    <w:rsid w:val="00DB7D30"/>
    <w:rsid w:val="00DC3BC1"/>
    <w:rsid w:val="00DC5D5B"/>
    <w:rsid w:val="00DC76CB"/>
    <w:rsid w:val="00DD0227"/>
    <w:rsid w:val="00DD523B"/>
    <w:rsid w:val="00DD5849"/>
    <w:rsid w:val="00DD7C41"/>
    <w:rsid w:val="00DE23D0"/>
    <w:rsid w:val="00DE2768"/>
    <w:rsid w:val="00DE4069"/>
    <w:rsid w:val="00DF743A"/>
    <w:rsid w:val="00E02909"/>
    <w:rsid w:val="00E06306"/>
    <w:rsid w:val="00E07003"/>
    <w:rsid w:val="00E07198"/>
    <w:rsid w:val="00E105BD"/>
    <w:rsid w:val="00E16767"/>
    <w:rsid w:val="00E30430"/>
    <w:rsid w:val="00E33BF6"/>
    <w:rsid w:val="00E34C55"/>
    <w:rsid w:val="00E4355D"/>
    <w:rsid w:val="00E4501F"/>
    <w:rsid w:val="00E45D5F"/>
    <w:rsid w:val="00E5139A"/>
    <w:rsid w:val="00E5508D"/>
    <w:rsid w:val="00E55A80"/>
    <w:rsid w:val="00E57427"/>
    <w:rsid w:val="00E57AEC"/>
    <w:rsid w:val="00E61BA0"/>
    <w:rsid w:val="00E67EA6"/>
    <w:rsid w:val="00E73D3B"/>
    <w:rsid w:val="00E74B03"/>
    <w:rsid w:val="00E75683"/>
    <w:rsid w:val="00E82229"/>
    <w:rsid w:val="00E827FA"/>
    <w:rsid w:val="00E831C5"/>
    <w:rsid w:val="00E84930"/>
    <w:rsid w:val="00E85C4F"/>
    <w:rsid w:val="00E97F46"/>
    <w:rsid w:val="00EA5F22"/>
    <w:rsid w:val="00EB2016"/>
    <w:rsid w:val="00EB4346"/>
    <w:rsid w:val="00EB7B71"/>
    <w:rsid w:val="00EC1943"/>
    <w:rsid w:val="00EC3171"/>
    <w:rsid w:val="00EC3C26"/>
    <w:rsid w:val="00EC65EB"/>
    <w:rsid w:val="00EC73EB"/>
    <w:rsid w:val="00ED0255"/>
    <w:rsid w:val="00ED4724"/>
    <w:rsid w:val="00ED677E"/>
    <w:rsid w:val="00ED6A71"/>
    <w:rsid w:val="00EE0E05"/>
    <w:rsid w:val="00EE1609"/>
    <w:rsid w:val="00EE4885"/>
    <w:rsid w:val="00EE572E"/>
    <w:rsid w:val="00EE6027"/>
    <w:rsid w:val="00EE6CA6"/>
    <w:rsid w:val="00EF0432"/>
    <w:rsid w:val="00F0063B"/>
    <w:rsid w:val="00F015CE"/>
    <w:rsid w:val="00F0445A"/>
    <w:rsid w:val="00F04FC4"/>
    <w:rsid w:val="00F07BE3"/>
    <w:rsid w:val="00F10517"/>
    <w:rsid w:val="00F1421A"/>
    <w:rsid w:val="00F14EC0"/>
    <w:rsid w:val="00F17205"/>
    <w:rsid w:val="00F2710F"/>
    <w:rsid w:val="00F27178"/>
    <w:rsid w:val="00F321BC"/>
    <w:rsid w:val="00F4074C"/>
    <w:rsid w:val="00F40DA3"/>
    <w:rsid w:val="00F51A9B"/>
    <w:rsid w:val="00F523AF"/>
    <w:rsid w:val="00F532C3"/>
    <w:rsid w:val="00F54BDD"/>
    <w:rsid w:val="00F570BA"/>
    <w:rsid w:val="00F60F30"/>
    <w:rsid w:val="00F63B46"/>
    <w:rsid w:val="00F63D25"/>
    <w:rsid w:val="00F63E5D"/>
    <w:rsid w:val="00F7318C"/>
    <w:rsid w:val="00F73EF5"/>
    <w:rsid w:val="00F748CB"/>
    <w:rsid w:val="00F74C2E"/>
    <w:rsid w:val="00F754CC"/>
    <w:rsid w:val="00F83201"/>
    <w:rsid w:val="00F84168"/>
    <w:rsid w:val="00F85278"/>
    <w:rsid w:val="00F863F1"/>
    <w:rsid w:val="00F8643C"/>
    <w:rsid w:val="00F92B6F"/>
    <w:rsid w:val="00F9332B"/>
    <w:rsid w:val="00F9350D"/>
    <w:rsid w:val="00F94255"/>
    <w:rsid w:val="00FA3EEC"/>
    <w:rsid w:val="00FA63C7"/>
    <w:rsid w:val="00FA79D3"/>
    <w:rsid w:val="00FA7B73"/>
    <w:rsid w:val="00FB0DAC"/>
    <w:rsid w:val="00FB3F92"/>
    <w:rsid w:val="00FB61CA"/>
    <w:rsid w:val="00FC2C64"/>
    <w:rsid w:val="00FC5B22"/>
    <w:rsid w:val="00FE2582"/>
    <w:rsid w:val="00FE5CFF"/>
    <w:rsid w:val="00FF57B2"/>
    <w:rsid w:val="00FF5F49"/>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44543"/>
  <w15:docId w15:val="{C9C9D49B-1184-4930-A6A4-FF0B9E09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w:hAnsi="Tahoma"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lsdException w:name="heading 5" w:uiPriority="0"/>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10"/>
    <w:pPr>
      <w:spacing w:before="180"/>
    </w:pPr>
    <w:rPr>
      <w:rFonts w:ascii="Arial" w:hAnsi="Arial" w:cs="Arial"/>
      <w:sz w:val="21"/>
      <w:szCs w:val="21"/>
    </w:rPr>
  </w:style>
  <w:style w:type="paragraph" w:styleId="Heading1">
    <w:name w:val="heading 1"/>
    <w:next w:val="Normal"/>
    <w:link w:val="Heading1Char"/>
    <w:rsid w:val="00E84930"/>
    <w:pPr>
      <w:keepNext/>
      <w:numPr>
        <w:numId w:val="1"/>
      </w:numPr>
      <w:spacing w:before="180" w:after="180"/>
      <w:outlineLvl w:val="0"/>
    </w:pPr>
    <w:rPr>
      <w:rFonts w:ascii="Arial" w:hAnsi="Arial" w:cs="Arial"/>
      <w:b/>
      <w:kern w:val="32"/>
      <w:sz w:val="36"/>
      <w:lang w:eastAsia="en-US"/>
    </w:rPr>
  </w:style>
  <w:style w:type="paragraph" w:styleId="Heading2">
    <w:name w:val="heading 2"/>
    <w:basedOn w:val="Heading1"/>
    <w:next w:val="Normal"/>
    <w:link w:val="Heading2Char"/>
    <w:qFormat/>
    <w:rsid w:val="00E84930"/>
    <w:pPr>
      <w:numPr>
        <w:numId w:val="0"/>
      </w:numPr>
      <w:spacing w:after="120"/>
      <w:outlineLvl w:val="1"/>
    </w:pPr>
    <w:rPr>
      <w:sz w:val="32"/>
    </w:rPr>
  </w:style>
  <w:style w:type="paragraph" w:styleId="Heading3">
    <w:name w:val="heading 3"/>
    <w:basedOn w:val="Heading2"/>
    <w:next w:val="Normal"/>
    <w:link w:val="Heading3Char"/>
    <w:qFormat/>
    <w:rsid w:val="00E84930"/>
    <w:pPr>
      <w:tabs>
        <w:tab w:val="left" w:pos="567"/>
      </w:tabs>
      <w:outlineLvl w:val="2"/>
    </w:pPr>
    <w:rPr>
      <w:sz w:val="28"/>
    </w:rPr>
  </w:style>
  <w:style w:type="paragraph" w:styleId="Heading4">
    <w:name w:val="heading 4"/>
    <w:basedOn w:val="Heading3"/>
    <w:next w:val="Normal"/>
    <w:link w:val="Heading4Char"/>
    <w:rsid w:val="00E84930"/>
    <w:pPr>
      <w:adjustRightInd w:val="0"/>
      <w:spacing w:before="120"/>
      <w:outlineLvl w:val="3"/>
    </w:pPr>
    <w:rPr>
      <w:sz w:val="24"/>
    </w:rPr>
  </w:style>
  <w:style w:type="paragraph" w:styleId="Heading5">
    <w:name w:val="heading 5"/>
    <w:basedOn w:val="Heading4"/>
    <w:next w:val="Normal"/>
    <w:link w:val="Heading5Char"/>
    <w:rsid w:val="00E84930"/>
    <w:pPr>
      <w:ind w:left="567"/>
      <w:outlineLvl w:val="4"/>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6D3866"/>
    <w:pPr>
      <w:numPr>
        <w:numId w:val="17"/>
      </w:numPr>
      <w:tabs>
        <w:tab w:val="left" w:pos="1701"/>
      </w:tabs>
      <w:spacing w:before="120"/>
    </w:pPr>
  </w:style>
  <w:style w:type="paragraph" w:customStyle="1" w:styleId="ListNumbered">
    <w:name w:val="List Numbered"/>
    <w:basedOn w:val="Normal"/>
    <w:semiHidden/>
    <w:qFormat/>
    <w:rsid w:val="00E84930"/>
    <w:pPr>
      <w:spacing w:before="20" w:after="20"/>
      <w:ind w:left="360" w:hanging="360"/>
    </w:pPr>
  </w:style>
  <w:style w:type="character" w:customStyle="1" w:styleId="FooterChar">
    <w:name w:val="Footer Char"/>
    <w:link w:val="Footer"/>
    <w:rsid w:val="00E84930"/>
    <w:rPr>
      <w:rFonts w:ascii="Arial" w:hAnsi="Arial" w:cs="Arial"/>
      <w:sz w:val="14"/>
      <w:szCs w:val="21"/>
    </w:rPr>
  </w:style>
  <w:style w:type="character" w:customStyle="1" w:styleId="Heading1Char">
    <w:name w:val="Heading 1 Char"/>
    <w:link w:val="Heading1"/>
    <w:rsid w:val="00E84930"/>
    <w:rPr>
      <w:rFonts w:ascii="Arial" w:hAnsi="Arial" w:cs="Arial"/>
      <w:b/>
      <w:kern w:val="32"/>
      <w:sz w:val="36"/>
      <w:lang w:eastAsia="en-US"/>
    </w:rPr>
  </w:style>
  <w:style w:type="paragraph" w:styleId="Footer">
    <w:name w:val="footer"/>
    <w:basedOn w:val="Normal"/>
    <w:next w:val="Normal"/>
    <w:link w:val="FooterChar"/>
    <w:rsid w:val="00E84930"/>
    <w:rPr>
      <w:sz w:val="14"/>
    </w:rPr>
  </w:style>
  <w:style w:type="character" w:customStyle="1" w:styleId="Heading2Char">
    <w:name w:val="Heading 2 Char"/>
    <w:link w:val="Heading2"/>
    <w:rsid w:val="00E84930"/>
    <w:rPr>
      <w:rFonts w:ascii="Arial" w:hAnsi="Arial" w:cs="Arial"/>
      <w:b/>
      <w:kern w:val="32"/>
      <w:sz w:val="32"/>
      <w:lang w:eastAsia="en-US"/>
    </w:rPr>
  </w:style>
  <w:style w:type="paragraph" w:customStyle="1" w:styleId="Heading3numbered">
    <w:name w:val="Heading 3 numbered"/>
    <w:basedOn w:val="Heading3"/>
    <w:next w:val="Normal"/>
    <w:rsid w:val="00E84930"/>
    <w:pPr>
      <w:numPr>
        <w:ilvl w:val="2"/>
        <w:numId w:val="1"/>
      </w:numPr>
      <w:tabs>
        <w:tab w:val="clear" w:pos="567"/>
      </w:tabs>
    </w:pPr>
  </w:style>
  <w:style w:type="paragraph" w:customStyle="1" w:styleId="Heading4numbered">
    <w:name w:val="Heading 4 numbered"/>
    <w:basedOn w:val="Heading4"/>
    <w:next w:val="Normal"/>
    <w:rsid w:val="00E84930"/>
    <w:pPr>
      <w:numPr>
        <w:ilvl w:val="3"/>
        <w:numId w:val="1"/>
      </w:numPr>
      <w:tabs>
        <w:tab w:val="clear" w:pos="567"/>
      </w:tabs>
    </w:pPr>
  </w:style>
  <w:style w:type="paragraph" w:customStyle="1" w:styleId="Heading5numbered">
    <w:name w:val="Heading 5 numbered"/>
    <w:basedOn w:val="Heading5"/>
    <w:next w:val="Normal"/>
    <w:rsid w:val="00E84930"/>
    <w:pPr>
      <w:numPr>
        <w:ilvl w:val="4"/>
        <w:numId w:val="1"/>
      </w:numPr>
      <w:tabs>
        <w:tab w:val="clear" w:pos="567"/>
        <w:tab w:val="left" w:pos="1134"/>
      </w:tabs>
    </w:pPr>
  </w:style>
  <w:style w:type="character" w:customStyle="1" w:styleId="Heading3Char">
    <w:name w:val="Heading 3 Char"/>
    <w:link w:val="Heading3"/>
    <w:rsid w:val="00E84930"/>
    <w:rPr>
      <w:rFonts w:ascii="Arial" w:hAnsi="Arial" w:cs="Arial"/>
      <w:b/>
      <w:kern w:val="32"/>
      <w:sz w:val="28"/>
      <w:lang w:eastAsia="en-US"/>
    </w:rPr>
  </w:style>
  <w:style w:type="character" w:customStyle="1" w:styleId="Heading4Char">
    <w:name w:val="Heading 4 Char"/>
    <w:link w:val="Heading4"/>
    <w:rsid w:val="00E84930"/>
    <w:rPr>
      <w:rFonts w:ascii="Arial" w:hAnsi="Arial" w:cs="Arial"/>
      <w:b/>
      <w:kern w:val="32"/>
      <w:sz w:val="24"/>
      <w:lang w:eastAsia="en-US"/>
    </w:rPr>
  </w:style>
  <w:style w:type="character" w:customStyle="1" w:styleId="Heading5Char">
    <w:name w:val="Heading 5 Char"/>
    <w:link w:val="Heading5"/>
    <w:rsid w:val="00E84930"/>
    <w:rPr>
      <w:rFonts w:ascii="Arial" w:hAnsi="Arial" w:cs="Arial"/>
      <w:b/>
      <w:kern w:val="32"/>
      <w:sz w:val="21"/>
      <w:lang w:eastAsia="en-US"/>
    </w:rPr>
  </w:style>
  <w:style w:type="paragraph" w:customStyle="1" w:styleId="Normalindented">
    <w:name w:val="Normal indented"/>
    <w:basedOn w:val="Normal"/>
    <w:rsid w:val="00E84930"/>
    <w:pPr>
      <w:ind w:left="340"/>
    </w:pPr>
  </w:style>
  <w:style w:type="numbering" w:customStyle="1" w:styleId="Headings">
    <w:name w:val="Headings"/>
    <w:uiPriority w:val="99"/>
    <w:rsid w:val="00E84930"/>
    <w:pPr>
      <w:numPr>
        <w:numId w:val="1"/>
      </w:numPr>
    </w:pPr>
  </w:style>
  <w:style w:type="paragraph" w:styleId="ListParagraph">
    <w:name w:val="List Paragraph"/>
    <w:basedOn w:val="Normal"/>
    <w:uiPriority w:val="34"/>
    <w:qFormat/>
    <w:rsid w:val="00E84930"/>
    <w:pPr>
      <w:ind w:left="720"/>
      <w:contextualSpacing/>
    </w:pPr>
  </w:style>
  <w:style w:type="paragraph" w:styleId="ListBullet2">
    <w:name w:val="List Bullet 2"/>
    <w:basedOn w:val="Normal"/>
    <w:uiPriority w:val="99"/>
    <w:semiHidden/>
    <w:rsid w:val="006D3866"/>
    <w:pPr>
      <w:numPr>
        <w:ilvl w:val="1"/>
        <w:numId w:val="17"/>
      </w:numPr>
      <w:tabs>
        <w:tab w:val="left" w:pos="1021"/>
      </w:tabs>
      <w:spacing w:before="120"/>
    </w:pPr>
  </w:style>
  <w:style w:type="paragraph" w:styleId="ListBullet3">
    <w:name w:val="List Bullet 3"/>
    <w:basedOn w:val="Normal"/>
    <w:uiPriority w:val="99"/>
    <w:semiHidden/>
    <w:rsid w:val="004C5381"/>
    <w:pPr>
      <w:numPr>
        <w:ilvl w:val="2"/>
        <w:numId w:val="17"/>
      </w:numPr>
      <w:tabs>
        <w:tab w:val="left" w:pos="1021"/>
      </w:tabs>
      <w:spacing w:before="120"/>
    </w:pPr>
    <w:rPr>
      <w:rFonts w:cs="Times New Roman"/>
    </w:rPr>
  </w:style>
  <w:style w:type="paragraph" w:styleId="ListBullet4">
    <w:name w:val="List Bullet 4"/>
    <w:basedOn w:val="Normal"/>
    <w:uiPriority w:val="99"/>
    <w:semiHidden/>
    <w:rsid w:val="006D3866"/>
    <w:pPr>
      <w:numPr>
        <w:ilvl w:val="3"/>
        <w:numId w:val="17"/>
      </w:numPr>
      <w:spacing w:before="20" w:after="40"/>
    </w:pPr>
  </w:style>
  <w:style w:type="paragraph" w:styleId="ListBullet5">
    <w:name w:val="List Bullet 5"/>
    <w:basedOn w:val="Normal"/>
    <w:uiPriority w:val="99"/>
    <w:semiHidden/>
    <w:rsid w:val="006D3866"/>
    <w:pPr>
      <w:numPr>
        <w:ilvl w:val="4"/>
        <w:numId w:val="17"/>
      </w:numPr>
      <w:spacing w:before="20" w:after="40"/>
    </w:pPr>
  </w:style>
  <w:style w:type="numbering" w:customStyle="1" w:styleId="ListBullets">
    <w:name w:val="ListBullets"/>
    <w:uiPriority w:val="99"/>
    <w:rsid w:val="00E84930"/>
    <w:pPr>
      <w:numPr>
        <w:numId w:val="3"/>
      </w:numPr>
    </w:pPr>
  </w:style>
  <w:style w:type="paragraph" w:styleId="ListNumber">
    <w:name w:val="List Number"/>
    <w:basedOn w:val="Normal"/>
    <w:qFormat/>
    <w:rsid w:val="006D3866"/>
    <w:pPr>
      <w:numPr>
        <w:numId w:val="16"/>
      </w:numPr>
      <w:tabs>
        <w:tab w:val="left" w:pos="340"/>
        <w:tab w:val="left" w:pos="680"/>
        <w:tab w:val="left" w:pos="1021"/>
      </w:tabs>
      <w:spacing w:before="120"/>
    </w:pPr>
  </w:style>
  <w:style w:type="paragraph" w:styleId="ListNumber2">
    <w:name w:val="List Number 2"/>
    <w:basedOn w:val="Normal"/>
    <w:uiPriority w:val="99"/>
    <w:semiHidden/>
    <w:rsid w:val="006D3866"/>
    <w:pPr>
      <w:numPr>
        <w:ilvl w:val="1"/>
        <w:numId w:val="16"/>
      </w:numPr>
      <w:tabs>
        <w:tab w:val="left" w:pos="680"/>
        <w:tab w:val="left" w:pos="1021"/>
      </w:tabs>
      <w:spacing w:before="120"/>
    </w:pPr>
  </w:style>
  <w:style w:type="paragraph" w:styleId="ListNumber3">
    <w:name w:val="List Number 3"/>
    <w:basedOn w:val="Normal"/>
    <w:uiPriority w:val="99"/>
    <w:semiHidden/>
    <w:rsid w:val="006D3866"/>
    <w:pPr>
      <w:numPr>
        <w:ilvl w:val="2"/>
        <w:numId w:val="16"/>
      </w:numPr>
      <w:tabs>
        <w:tab w:val="left" w:pos="1021"/>
        <w:tab w:val="left" w:pos="1361"/>
      </w:tabs>
      <w:spacing w:before="120"/>
    </w:pPr>
  </w:style>
  <w:style w:type="paragraph" w:styleId="ListNumber4">
    <w:name w:val="List Number 4"/>
    <w:basedOn w:val="Normal"/>
    <w:uiPriority w:val="99"/>
    <w:semiHidden/>
    <w:rsid w:val="006D3866"/>
    <w:pPr>
      <w:numPr>
        <w:ilvl w:val="3"/>
        <w:numId w:val="16"/>
      </w:numPr>
      <w:spacing w:before="20" w:after="40"/>
    </w:pPr>
  </w:style>
  <w:style w:type="paragraph" w:styleId="ListNumber5">
    <w:name w:val="List Number 5"/>
    <w:basedOn w:val="Normal"/>
    <w:uiPriority w:val="99"/>
    <w:semiHidden/>
    <w:rsid w:val="006D3866"/>
    <w:pPr>
      <w:numPr>
        <w:ilvl w:val="4"/>
        <w:numId w:val="16"/>
      </w:numPr>
      <w:spacing w:before="20" w:after="40"/>
    </w:pPr>
  </w:style>
  <w:style w:type="numbering" w:customStyle="1" w:styleId="ListNumbers">
    <w:name w:val="ListNumbers"/>
    <w:uiPriority w:val="99"/>
    <w:rsid w:val="00E84930"/>
    <w:pPr>
      <w:numPr>
        <w:numId w:val="4"/>
      </w:numPr>
    </w:pPr>
  </w:style>
  <w:style w:type="paragraph" w:styleId="Header">
    <w:name w:val="header"/>
    <w:basedOn w:val="Normal"/>
    <w:link w:val="HeaderChar"/>
    <w:uiPriority w:val="99"/>
    <w:unhideWhenUsed/>
    <w:rsid w:val="00E84930"/>
    <w:pPr>
      <w:tabs>
        <w:tab w:val="center" w:pos="4513"/>
        <w:tab w:val="right" w:pos="9026"/>
      </w:tabs>
      <w:spacing w:before="0"/>
    </w:pPr>
  </w:style>
  <w:style w:type="character" w:customStyle="1" w:styleId="HeaderChar">
    <w:name w:val="Header Char"/>
    <w:basedOn w:val="DefaultParagraphFont"/>
    <w:link w:val="Header"/>
    <w:uiPriority w:val="99"/>
    <w:rsid w:val="00E84930"/>
    <w:rPr>
      <w:rFonts w:ascii="Arial" w:hAnsi="Arial" w:cs="Arial"/>
      <w:sz w:val="21"/>
      <w:szCs w:val="21"/>
    </w:rPr>
  </w:style>
  <w:style w:type="table" w:customStyle="1" w:styleId="TableGridLight1">
    <w:name w:val="Table Grid Light1"/>
    <w:basedOn w:val="TableNormal"/>
    <w:uiPriority w:val="40"/>
    <w:rsid w:val="00E84930"/>
    <w:rPr>
      <w:rFonts w:ascii="Arial" w:hAnsi="Arial"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spectaddress">
    <w:name w:val="Prospect address"/>
    <w:basedOn w:val="Footer"/>
    <w:rsid w:val="00E84930"/>
    <w:pPr>
      <w:spacing w:before="0"/>
      <w:contextualSpacing/>
    </w:pPr>
    <w:rPr>
      <w:sz w:val="19"/>
    </w:rPr>
  </w:style>
  <w:style w:type="character" w:styleId="Hyperlink">
    <w:name w:val="Hyperlink"/>
    <w:basedOn w:val="DefaultParagraphFont"/>
    <w:uiPriority w:val="99"/>
    <w:unhideWhenUsed/>
    <w:rsid w:val="00E84930"/>
    <w:rPr>
      <w:color w:val="0000FF" w:themeColor="hyperlink"/>
      <w:u w:val="single"/>
    </w:rPr>
  </w:style>
  <w:style w:type="paragraph" w:customStyle="1" w:styleId="largeprint">
    <w:name w:val="largeprint"/>
    <w:basedOn w:val="Normal"/>
    <w:rsid w:val="00E84930"/>
    <w:pPr>
      <w:spacing w:before="240" w:line="400" w:lineRule="exact"/>
    </w:pPr>
    <w:rPr>
      <w:sz w:val="28"/>
    </w:rPr>
  </w:style>
  <w:style w:type="paragraph" w:customStyle="1" w:styleId="letter-date">
    <w:name w:val="letter-date"/>
    <w:basedOn w:val="Normal"/>
    <w:rsid w:val="00E84930"/>
    <w:pPr>
      <w:spacing w:before="140"/>
    </w:pPr>
  </w:style>
  <w:style w:type="paragraph" w:customStyle="1" w:styleId="letter-reference">
    <w:name w:val="letter-reference"/>
    <w:basedOn w:val="Normal"/>
    <w:rsid w:val="00E84930"/>
    <w:pPr>
      <w:spacing w:before="460"/>
    </w:pPr>
  </w:style>
  <w:style w:type="paragraph" w:customStyle="1" w:styleId="letter-salutation">
    <w:name w:val="letter-salutation"/>
    <w:basedOn w:val="Normal"/>
    <w:rsid w:val="00E84930"/>
    <w:pPr>
      <w:tabs>
        <w:tab w:val="left" w:pos="3721"/>
      </w:tabs>
      <w:spacing w:before="480"/>
    </w:pPr>
  </w:style>
  <w:style w:type="paragraph" w:customStyle="1" w:styleId="Normalnospaceafterorbefore">
    <w:name w:val="Normal no space after or before"/>
    <w:basedOn w:val="Normal"/>
    <w:rsid w:val="00E84930"/>
    <w:pPr>
      <w:spacing w:before="0"/>
    </w:pPr>
  </w:style>
  <w:style w:type="paragraph" w:customStyle="1" w:styleId="letter-signoff-contact-details">
    <w:name w:val="letter-signoff-contact-details"/>
    <w:basedOn w:val="Normalnospaceafterorbefore"/>
    <w:rsid w:val="00E84930"/>
  </w:style>
  <w:style w:type="paragraph" w:customStyle="1" w:styleId="letter-signoff-email">
    <w:name w:val="letter-signoff-email"/>
    <w:basedOn w:val="Normal"/>
    <w:rsid w:val="00E84930"/>
    <w:pPr>
      <w:spacing w:before="0" w:after="180"/>
    </w:pPr>
  </w:style>
  <w:style w:type="paragraph" w:customStyle="1" w:styleId="letter-signoff-job-title">
    <w:name w:val="letter-signoff-job-title"/>
    <w:basedOn w:val="Normal"/>
    <w:rsid w:val="00E84930"/>
    <w:pPr>
      <w:spacing w:before="0" w:after="180"/>
    </w:pPr>
  </w:style>
  <w:style w:type="paragraph" w:customStyle="1" w:styleId="letter-signoff-name">
    <w:name w:val="letter-signoff-name"/>
    <w:basedOn w:val="Normalnospaceafterorbefore"/>
    <w:rsid w:val="00E84930"/>
    <w:pPr>
      <w:spacing w:before="1000"/>
    </w:pPr>
  </w:style>
  <w:style w:type="paragraph" w:customStyle="1" w:styleId="letter-subject-line">
    <w:name w:val="letter-subject-line"/>
    <w:basedOn w:val="Normal"/>
    <w:rsid w:val="00E84930"/>
    <w:rPr>
      <w:b/>
    </w:rPr>
  </w:style>
  <w:style w:type="paragraph" w:styleId="NormalIndent">
    <w:name w:val="Normal Indent"/>
    <w:basedOn w:val="Normal"/>
    <w:uiPriority w:val="99"/>
    <w:semiHidden/>
    <w:unhideWhenUsed/>
    <w:rsid w:val="00E84930"/>
    <w:pPr>
      <w:ind w:left="567"/>
    </w:pPr>
  </w:style>
  <w:style w:type="paragraph" w:customStyle="1" w:styleId="Normalnumberedparas">
    <w:name w:val="Normal numbered paras"/>
    <w:basedOn w:val="NormalIndent"/>
    <w:rsid w:val="00E84930"/>
    <w:pPr>
      <w:tabs>
        <w:tab w:val="left" w:pos="454"/>
      </w:tabs>
      <w:spacing w:before="120" w:after="240"/>
      <w:ind w:left="0"/>
    </w:pPr>
  </w:style>
  <w:style w:type="paragraph" w:customStyle="1" w:styleId="Normalnumberedparas1">
    <w:name w:val="Normal numbered paras 1"/>
    <w:basedOn w:val="NormalIndent"/>
    <w:rsid w:val="00E84930"/>
    <w:pPr>
      <w:numPr>
        <w:numId w:val="5"/>
      </w:numPr>
      <w:tabs>
        <w:tab w:val="left" w:pos="454"/>
      </w:tabs>
    </w:pPr>
  </w:style>
  <w:style w:type="paragraph" w:customStyle="1" w:styleId="Normalnumberedparasa">
    <w:name w:val="Normal numbered paras a)"/>
    <w:basedOn w:val="Normalnumberedparas1"/>
    <w:rsid w:val="00E84930"/>
    <w:pPr>
      <w:numPr>
        <w:numId w:val="6"/>
      </w:numPr>
      <w:tabs>
        <w:tab w:val="clear" w:pos="454"/>
        <w:tab w:val="left" w:pos="340"/>
      </w:tabs>
    </w:pPr>
  </w:style>
  <w:style w:type="paragraph" w:customStyle="1" w:styleId="Normaltabletext">
    <w:name w:val="Normal table text"/>
    <w:basedOn w:val="Normal"/>
    <w:rsid w:val="00E84930"/>
    <w:pPr>
      <w:spacing w:before="60" w:after="60"/>
    </w:pPr>
    <w:rPr>
      <w:lang w:eastAsia="en-US"/>
    </w:rPr>
  </w:style>
  <w:style w:type="table" w:styleId="TableGrid">
    <w:name w:val="Table Grid"/>
    <w:basedOn w:val="TableNormal"/>
    <w:uiPriority w:val="59"/>
    <w:rsid w:val="00E84930"/>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16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080910">
      <w:bodyDiv w:val="1"/>
      <w:marLeft w:val="0"/>
      <w:marRight w:val="0"/>
      <w:marTop w:val="0"/>
      <w:marBottom w:val="0"/>
      <w:divBdr>
        <w:top w:val="none" w:sz="0" w:space="0" w:color="auto"/>
        <w:left w:val="none" w:sz="0" w:space="0" w:color="auto"/>
        <w:bottom w:val="none" w:sz="0" w:space="0" w:color="auto"/>
        <w:right w:val="none" w:sz="0" w:space="0" w:color="auto"/>
      </w:divBdr>
    </w:div>
    <w:div w:id="382413360">
      <w:bodyDiv w:val="1"/>
      <w:marLeft w:val="0"/>
      <w:marRight w:val="0"/>
      <w:marTop w:val="0"/>
      <w:marBottom w:val="0"/>
      <w:divBdr>
        <w:top w:val="none" w:sz="0" w:space="0" w:color="auto"/>
        <w:left w:val="none" w:sz="0" w:space="0" w:color="auto"/>
        <w:bottom w:val="none" w:sz="0" w:space="0" w:color="auto"/>
        <w:right w:val="none" w:sz="0" w:space="0" w:color="auto"/>
      </w:divBdr>
    </w:div>
    <w:div w:id="731125764">
      <w:bodyDiv w:val="1"/>
      <w:marLeft w:val="0"/>
      <w:marRight w:val="0"/>
      <w:marTop w:val="0"/>
      <w:marBottom w:val="0"/>
      <w:divBdr>
        <w:top w:val="none" w:sz="0" w:space="0" w:color="auto"/>
        <w:left w:val="none" w:sz="0" w:space="0" w:color="auto"/>
        <w:bottom w:val="none" w:sz="0" w:space="0" w:color="auto"/>
        <w:right w:val="none" w:sz="0" w:space="0" w:color="auto"/>
      </w:divBdr>
    </w:div>
    <w:div w:id="979267692">
      <w:bodyDiv w:val="1"/>
      <w:marLeft w:val="0"/>
      <w:marRight w:val="0"/>
      <w:marTop w:val="0"/>
      <w:marBottom w:val="0"/>
      <w:divBdr>
        <w:top w:val="none" w:sz="0" w:space="0" w:color="auto"/>
        <w:left w:val="none" w:sz="0" w:space="0" w:color="auto"/>
        <w:bottom w:val="none" w:sz="0" w:space="0" w:color="auto"/>
        <w:right w:val="none" w:sz="0" w:space="0" w:color="auto"/>
      </w:divBdr>
    </w:div>
    <w:div w:id="1569850297">
      <w:bodyDiv w:val="1"/>
      <w:marLeft w:val="0"/>
      <w:marRight w:val="0"/>
      <w:marTop w:val="0"/>
      <w:marBottom w:val="0"/>
      <w:divBdr>
        <w:top w:val="none" w:sz="0" w:space="0" w:color="auto"/>
        <w:left w:val="none" w:sz="0" w:space="0" w:color="auto"/>
        <w:bottom w:val="none" w:sz="0" w:space="0" w:color="auto"/>
        <w:right w:val="none" w:sz="0" w:space="0" w:color="auto"/>
      </w:divBdr>
    </w:div>
    <w:div w:id="1868835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ilw\AppData\Roaming\Microsoft\Templates\circular.dotx"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26C19-8705-4877-AF30-5E901EB4C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circular</Template>
  <TotalTime>10</TotalTime>
  <Pages>6</Pages>
  <Words>2269</Words>
  <Characters>12937</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i)</vt:lpstr>
    </vt:vector>
  </TitlesOfParts>
  <Company>LONDON SE1 7AQ</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Sue Ferns</dc:creator>
  <cp:keywords/>
  <dc:description/>
  <cp:lastModifiedBy>Neil Walsh</cp:lastModifiedBy>
  <cp:revision>2</cp:revision>
  <cp:lastPrinted>2023-11-30T16:17:00Z</cp:lastPrinted>
  <dcterms:created xsi:type="dcterms:W3CDTF">2023-12-01T14:37:00Z</dcterms:created>
  <dcterms:modified xsi:type="dcterms:W3CDTF">2023-12-01T14:37:00Z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