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6067B" w14:textId="4DD638D4" w:rsidR="008A6585" w:rsidRPr="00DD0E7C" w:rsidRDefault="008A6585" w:rsidP="008A6585">
      <w:pPr>
        <w:pStyle w:val="Heading1"/>
      </w:pPr>
      <w:bookmarkStart w:id="0" w:name="_Toc62486917"/>
      <w:bookmarkStart w:id="1" w:name="_Toc62808245"/>
      <w:r w:rsidRPr="00DD0E7C">
        <w:t xml:space="preserve">Activity </w:t>
      </w:r>
      <w:r w:rsidR="007539F3">
        <w:t>F</w:t>
      </w:r>
      <w:r w:rsidRPr="00DD0E7C">
        <w:t>: Tactics</w:t>
      </w:r>
      <w:bookmarkEnd w:id="0"/>
      <w:bookmarkEnd w:id="1"/>
    </w:p>
    <w:p w14:paraId="41237E3E" w14:textId="77777777" w:rsidR="008A6585" w:rsidRPr="00AA0611" w:rsidRDefault="008A6585" w:rsidP="008A6585">
      <w:pPr>
        <w:rPr>
          <w:bCs/>
          <w:lang w:eastAsia="en-US"/>
        </w:rPr>
      </w:pPr>
      <w:r>
        <w:rPr>
          <w:bCs/>
          <w:lang w:eastAsia="en-US"/>
        </w:rPr>
        <w:t>Look at the following tactics and in your groups, decide if you would use that tactic or challenge it if it was done to you.</w:t>
      </w:r>
    </w:p>
    <w:p w14:paraId="09AED72F" w14:textId="77777777" w:rsidR="008A6585" w:rsidRPr="00DD0E7C" w:rsidRDefault="008A6585" w:rsidP="008A6585">
      <w:pPr>
        <w:spacing w:before="480" w:after="240"/>
        <w:rPr>
          <w:b/>
          <w:bCs/>
        </w:rPr>
      </w:pPr>
      <w:bookmarkStart w:id="2" w:name="_Toc62486918"/>
      <w:r w:rsidRPr="00DD0E7C">
        <w:rPr>
          <w:b/>
          <w:bCs/>
        </w:rPr>
        <w:t>Opening gambits</w:t>
      </w:r>
      <w:bookmarkEnd w:id="2"/>
      <w:r w:rsidRPr="00DD0E7C">
        <w:rPr>
          <w:b/>
          <w:bCs/>
        </w:rPr>
        <w:t xml:space="preserve"> </w:t>
      </w:r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4776"/>
        <w:gridCol w:w="756"/>
        <w:gridCol w:w="752"/>
        <w:gridCol w:w="749"/>
        <w:gridCol w:w="792"/>
        <w:gridCol w:w="779"/>
        <w:gridCol w:w="770"/>
      </w:tblGrid>
      <w:tr w:rsidR="008A6585" w14:paraId="05E453F1" w14:textId="77777777" w:rsidTr="00C909F0">
        <w:tc>
          <w:tcPr>
            <w:tcW w:w="4776" w:type="dxa"/>
          </w:tcPr>
          <w:p w14:paraId="1381E491" w14:textId="77777777" w:rsidR="008A6585" w:rsidRDefault="008A6585" w:rsidP="00F07842">
            <w:pPr>
              <w:spacing w:after="18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Tactic</w:t>
            </w:r>
          </w:p>
        </w:tc>
        <w:tc>
          <w:tcPr>
            <w:tcW w:w="2257" w:type="dxa"/>
            <w:gridSpan w:val="3"/>
          </w:tcPr>
          <w:p w14:paraId="792A54E1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Use?</w:t>
            </w:r>
          </w:p>
          <w:p w14:paraId="68074382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Yes / Maybe / No</w:t>
            </w:r>
          </w:p>
        </w:tc>
        <w:tc>
          <w:tcPr>
            <w:tcW w:w="2341" w:type="dxa"/>
            <w:gridSpan w:val="3"/>
          </w:tcPr>
          <w:p w14:paraId="79B5B128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Challenge?</w:t>
            </w:r>
          </w:p>
          <w:p w14:paraId="4A5A510E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Yes / Maybe / No</w:t>
            </w:r>
          </w:p>
        </w:tc>
      </w:tr>
      <w:tr w:rsidR="00C909F0" w14:paraId="293CC107" w14:textId="77777777" w:rsidTr="00C909F0">
        <w:tc>
          <w:tcPr>
            <w:tcW w:w="4776" w:type="dxa"/>
            <w:vAlign w:val="center"/>
          </w:tcPr>
          <w:p w14:paraId="2374ED77" w14:textId="4EA3784A" w:rsidR="00C909F0" w:rsidRDefault="00C909F0" w:rsidP="00C909F0">
            <w:pPr>
              <w:spacing w:before="60" w:after="6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Tactic </w:t>
            </w:r>
            <w:r w:rsidRPr="00B1194F">
              <w:rPr>
                <w:b/>
                <w:bCs/>
                <w:lang w:eastAsia="en-US"/>
              </w:rPr>
              <w:t xml:space="preserve">1: Always appear reluctant 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I do not have to take this deal. I am interested in acting in good faith</w:t>
            </w:r>
            <w:r>
              <w:rPr>
                <w:lang w:eastAsia="en-US"/>
              </w:rPr>
              <w:t>,</w:t>
            </w:r>
            <w:r w:rsidRPr="00B1194F">
              <w:rPr>
                <w:lang w:eastAsia="en-US"/>
              </w:rPr>
              <w:t xml:space="preserve"> but I may or may not accept the conditions of this deal.</w:t>
            </w:r>
          </w:p>
        </w:tc>
        <w:tc>
          <w:tcPr>
            <w:tcW w:w="756" w:type="dxa"/>
          </w:tcPr>
          <w:p w14:paraId="57C6A873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7B3922C8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49" w:type="dxa"/>
          </w:tcPr>
          <w:p w14:paraId="59F85F25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92" w:type="dxa"/>
          </w:tcPr>
          <w:p w14:paraId="2866FE76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9" w:type="dxa"/>
          </w:tcPr>
          <w:p w14:paraId="123CBD8D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0" w:type="dxa"/>
          </w:tcPr>
          <w:p w14:paraId="3F40850B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</w:tr>
      <w:tr w:rsidR="00C909F0" w14:paraId="1D5343AC" w14:textId="77777777" w:rsidTr="00C909F0">
        <w:tc>
          <w:tcPr>
            <w:tcW w:w="4776" w:type="dxa"/>
            <w:vAlign w:val="center"/>
          </w:tcPr>
          <w:p w14:paraId="1AC5EEB4" w14:textId="75DC3958" w:rsidR="00C909F0" w:rsidRPr="00EC661E" w:rsidRDefault="00C909F0" w:rsidP="00C909F0">
            <w:pPr>
              <w:spacing w:before="60" w:after="6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2: Never, never, accept the first offer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 xml:space="preserve">A good negotiator always starts you at one extreme of the bargaining range. Counter with </w:t>
            </w:r>
            <w:r>
              <w:rPr>
                <w:lang w:eastAsia="en-US"/>
              </w:rPr>
              <w:t>“</w:t>
            </w:r>
            <w:r w:rsidRPr="00B1194F">
              <w:rPr>
                <w:lang w:eastAsia="en-US"/>
              </w:rPr>
              <w:t>that's an attractive offer but I still have real concerns</w:t>
            </w:r>
            <w:r>
              <w:rPr>
                <w:lang w:eastAsia="en-US"/>
              </w:rPr>
              <w:t>”.</w:t>
            </w:r>
          </w:p>
        </w:tc>
        <w:tc>
          <w:tcPr>
            <w:tcW w:w="756" w:type="dxa"/>
          </w:tcPr>
          <w:p w14:paraId="36633BF8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18006500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49" w:type="dxa"/>
          </w:tcPr>
          <w:p w14:paraId="622F648D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92" w:type="dxa"/>
          </w:tcPr>
          <w:p w14:paraId="4F314DDD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9" w:type="dxa"/>
          </w:tcPr>
          <w:p w14:paraId="3184EC8E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0" w:type="dxa"/>
          </w:tcPr>
          <w:p w14:paraId="5373D22F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</w:tr>
      <w:tr w:rsidR="00C909F0" w14:paraId="7F15C579" w14:textId="77777777" w:rsidTr="00C909F0">
        <w:tc>
          <w:tcPr>
            <w:tcW w:w="4776" w:type="dxa"/>
            <w:vAlign w:val="center"/>
          </w:tcPr>
          <w:p w14:paraId="1E57D4DC" w14:textId="7A05C526" w:rsidR="00C909F0" w:rsidRDefault="00C909F0" w:rsidP="00C909F0">
            <w:pPr>
              <w:spacing w:before="60" w:after="60"/>
              <w:rPr>
                <w:b/>
                <w:bCs/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3: That's not good enough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 xml:space="preserve">This is the single most effective way to begin the negotiation on your terms. The other side may turn the tables on this and counter with </w:t>
            </w:r>
            <w:r>
              <w:rPr>
                <w:lang w:eastAsia="en-US"/>
              </w:rPr>
              <w:t>“</w:t>
            </w:r>
            <w:r w:rsidRPr="00B1194F">
              <w:rPr>
                <w:lang w:eastAsia="en-US"/>
              </w:rPr>
              <w:t>What will be good enough?</w:t>
            </w:r>
            <w:r>
              <w:rPr>
                <w:lang w:eastAsia="en-US"/>
              </w:rPr>
              <w:t>”</w:t>
            </w:r>
            <w:r w:rsidRPr="00B1194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A</w:t>
            </w:r>
            <w:r w:rsidRPr="00B1194F">
              <w:rPr>
                <w:lang w:eastAsia="en-US"/>
              </w:rPr>
              <w:t>void a direct answer to this.</w:t>
            </w:r>
          </w:p>
        </w:tc>
        <w:tc>
          <w:tcPr>
            <w:tcW w:w="756" w:type="dxa"/>
          </w:tcPr>
          <w:p w14:paraId="2A8DB851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19E4BE57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49" w:type="dxa"/>
          </w:tcPr>
          <w:p w14:paraId="7766CAF2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92" w:type="dxa"/>
          </w:tcPr>
          <w:p w14:paraId="3D84A0B9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9" w:type="dxa"/>
          </w:tcPr>
          <w:p w14:paraId="2416A7F5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0" w:type="dxa"/>
          </w:tcPr>
          <w:p w14:paraId="1436382D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</w:tr>
      <w:tr w:rsidR="00C909F0" w14:paraId="6C1938AC" w14:textId="77777777" w:rsidTr="00C909F0">
        <w:tc>
          <w:tcPr>
            <w:tcW w:w="4776" w:type="dxa"/>
            <w:vAlign w:val="center"/>
          </w:tcPr>
          <w:p w14:paraId="0145BCD4" w14:textId="3FCFBCFE" w:rsidR="00C909F0" w:rsidRPr="00EC661E" w:rsidRDefault="00C909F0" w:rsidP="00C909F0">
            <w:pPr>
              <w:spacing w:before="60" w:after="6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4: Cringe and make a face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A little bit of theatrics goes a long way in negotiation</w:t>
            </w:r>
            <w:r>
              <w:rPr>
                <w:lang w:eastAsia="en-US"/>
              </w:rPr>
              <w:t>s</w:t>
            </w:r>
            <w:r w:rsidRPr="00B1194F">
              <w:rPr>
                <w:lang w:eastAsia="en-US"/>
              </w:rPr>
              <w:t>. Shake your head or make a small sound of horror, then stay silent and let the other side maybe alter their offer.</w:t>
            </w:r>
          </w:p>
        </w:tc>
        <w:tc>
          <w:tcPr>
            <w:tcW w:w="756" w:type="dxa"/>
          </w:tcPr>
          <w:p w14:paraId="6B69CCE2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54E5D8F6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49" w:type="dxa"/>
          </w:tcPr>
          <w:p w14:paraId="10C1391A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92" w:type="dxa"/>
          </w:tcPr>
          <w:p w14:paraId="5FB844DA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9" w:type="dxa"/>
          </w:tcPr>
          <w:p w14:paraId="3B36580E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0" w:type="dxa"/>
          </w:tcPr>
          <w:p w14:paraId="2EDCEA67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</w:tr>
      <w:tr w:rsidR="00C909F0" w14:paraId="52D15A1E" w14:textId="77777777" w:rsidTr="00C909F0">
        <w:tc>
          <w:tcPr>
            <w:tcW w:w="4776" w:type="dxa"/>
            <w:vAlign w:val="center"/>
          </w:tcPr>
          <w:p w14:paraId="1EA014B9" w14:textId="47DC6094" w:rsidR="00C909F0" w:rsidRDefault="00C909F0" w:rsidP="00C909F0">
            <w:pPr>
              <w:spacing w:before="60" w:after="60"/>
              <w:rPr>
                <w:b/>
                <w:bCs/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5: Ask for the kitchen sink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Don't be shy in your first offer</w:t>
            </w:r>
            <w:r>
              <w:rPr>
                <w:lang w:eastAsia="en-US"/>
              </w:rPr>
              <w:t>.</w:t>
            </w:r>
            <w:r w:rsidRPr="00B1194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B</w:t>
            </w:r>
            <w:r w:rsidRPr="00B1194F">
              <w:rPr>
                <w:lang w:eastAsia="en-US"/>
              </w:rPr>
              <w:t>e bold</w:t>
            </w:r>
            <w:r>
              <w:rPr>
                <w:lang w:eastAsia="en-US"/>
              </w:rPr>
              <w:t>,</w:t>
            </w:r>
            <w:r w:rsidRPr="00B1194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</w:t>
            </w:r>
            <w:r w:rsidRPr="00B1194F">
              <w:rPr>
                <w:lang w:eastAsia="en-US"/>
              </w:rPr>
              <w:t>he mo</w:t>
            </w:r>
            <w:r>
              <w:rPr>
                <w:lang w:eastAsia="en-US"/>
              </w:rPr>
              <w:t>r</w:t>
            </w:r>
            <w:r w:rsidRPr="00B1194F">
              <w:rPr>
                <w:lang w:eastAsia="en-US"/>
              </w:rPr>
              <w:t>e you ask f</w:t>
            </w:r>
            <w:r>
              <w:rPr>
                <w:lang w:eastAsia="en-US"/>
              </w:rPr>
              <w:t>or in the beginning, the better</w:t>
            </w:r>
            <w:r w:rsidRPr="00B1194F">
              <w:rPr>
                <w:lang w:eastAsia="en-US"/>
              </w:rPr>
              <w:t>. If you ask for A,</w:t>
            </w:r>
            <w:r>
              <w:rPr>
                <w:lang w:eastAsia="en-US"/>
              </w:rPr>
              <w:t xml:space="preserve"> </w:t>
            </w:r>
            <w:r w:rsidRPr="00B1194F">
              <w:rPr>
                <w:lang w:eastAsia="en-US"/>
              </w:rPr>
              <w:t>B &amp; C and you'll sett</w:t>
            </w:r>
            <w:r>
              <w:rPr>
                <w:lang w:eastAsia="en-US"/>
              </w:rPr>
              <w:t>le for C, you can always trade A &amp; B</w:t>
            </w:r>
            <w:r w:rsidRPr="00B1194F">
              <w:rPr>
                <w:lang w:eastAsia="en-US"/>
              </w:rPr>
              <w:t>.</w:t>
            </w:r>
          </w:p>
        </w:tc>
        <w:tc>
          <w:tcPr>
            <w:tcW w:w="756" w:type="dxa"/>
          </w:tcPr>
          <w:p w14:paraId="7E47C8F5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22F55159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49" w:type="dxa"/>
          </w:tcPr>
          <w:p w14:paraId="383E7E00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92" w:type="dxa"/>
          </w:tcPr>
          <w:p w14:paraId="5074A875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9" w:type="dxa"/>
          </w:tcPr>
          <w:p w14:paraId="266F5DE8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0" w:type="dxa"/>
          </w:tcPr>
          <w:p w14:paraId="1972591D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</w:tr>
      <w:tr w:rsidR="00C909F0" w14:paraId="068DC9EF" w14:textId="77777777" w:rsidTr="00C909F0">
        <w:tc>
          <w:tcPr>
            <w:tcW w:w="4776" w:type="dxa"/>
            <w:vAlign w:val="center"/>
          </w:tcPr>
          <w:p w14:paraId="447B0DA9" w14:textId="66CC6E21" w:rsidR="00C909F0" w:rsidRDefault="00C909F0" w:rsidP="00C909F0">
            <w:pPr>
              <w:spacing w:before="60" w:after="60"/>
              <w:rPr>
                <w:b/>
                <w:bCs/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6: Neutralise the other side's perceived power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Don't let the other side make you feel slight or inferior, focus on your strategy.</w:t>
            </w:r>
          </w:p>
        </w:tc>
        <w:tc>
          <w:tcPr>
            <w:tcW w:w="756" w:type="dxa"/>
          </w:tcPr>
          <w:p w14:paraId="3FC7E14A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721AA600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49" w:type="dxa"/>
          </w:tcPr>
          <w:p w14:paraId="035F5134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92" w:type="dxa"/>
          </w:tcPr>
          <w:p w14:paraId="7ABAED76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9" w:type="dxa"/>
          </w:tcPr>
          <w:p w14:paraId="7034C332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0" w:type="dxa"/>
          </w:tcPr>
          <w:p w14:paraId="333154C5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</w:tr>
      <w:tr w:rsidR="00C909F0" w14:paraId="10F03571" w14:textId="77777777" w:rsidTr="00C909F0">
        <w:tc>
          <w:tcPr>
            <w:tcW w:w="4776" w:type="dxa"/>
            <w:vAlign w:val="center"/>
          </w:tcPr>
          <w:p w14:paraId="08888A6D" w14:textId="4BBFA534" w:rsidR="00C909F0" w:rsidRPr="00EC661E" w:rsidRDefault="00C909F0" w:rsidP="00C909F0">
            <w:pPr>
              <w:spacing w:before="60" w:after="6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7: Schedule sessions on your own turf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Like a football team</w:t>
            </w:r>
            <w:r>
              <w:rPr>
                <w:lang w:eastAsia="en-US"/>
              </w:rPr>
              <w:t>,</w:t>
            </w:r>
            <w:r w:rsidRPr="00B1194F">
              <w:rPr>
                <w:lang w:eastAsia="en-US"/>
              </w:rPr>
              <w:t xml:space="preserve"> the home side has an advantage.</w:t>
            </w:r>
          </w:p>
        </w:tc>
        <w:tc>
          <w:tcPr>
            <w:tcW w:w="756" w:type="dxa"/>
          </w:tcPr>
          <w:p w14:paraId="79333EB4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3DF967B1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49" w:type="dxa"/>
          </w:tcPr>
          <w:p w14:paraId="240BC526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92" w:type="dxa"/>
          </w:tcPr>
          <w:p w14:paraId="72970018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9" w:type="dxa"/>
          </w:tcPr>
          <w:p w14:paraId="25EB88E3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0" w:type="dxa"/>
          </w:tcPr>
          <w:p w14:paraId="57EF4328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</w:tr>
      <w:tr w:rsidR="00C909F0" w14:paraId="6B7C6CCB" w14:textId="77777777" w:rsidTr="00C909F0">
        <w:tc>
          <w:tcPr>
            <w:tcW w:w="4776" w:type="dxa"/>
            <w:vAlign w:val="center"/>
          </w:tcPr>
          <w:p w14:paraId="6A3EF6B5" w14:textId="130ABB74" w:rsidR="00C909F0" w:rsidRPr="00B1194F" w:rsidRDefault="00C909F0" w:rsidP="00C909F0">
            <w:pPr>
              <w:spacing w:before="60" w:after="60"/>
              <w:rPr>
                <w:b/>
                <w:bCs/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8: Use confusion to your advantage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When people are unsettled</w:t>
            </w:r>
            <w:r>
              <w:rPr>
                <w:lang w:eastAsia="en-US"/>
              </w:rPr>
              <w:t>,</w:t>
            </w:r>
            <w:r w:rsidRPr="00B1194F">
              <w:rPr>
                <w:lang w:eastAsia="en-US"/>
              </w:rPr>
              <w:t xml:space="preserve"> they are easily influenced. At critical moment</w:t>
            </w:r>
            <w:r>
              <w:rPr>
                <w:lang w:eastAsia="en-US"/>
              </w:rPr>
              <w:t>s</w:t>
            </w:r>
            <w:r w:rsidRPr="00B1194F">
              <w:rPr>
                <w:lang w:eastAsia="en-US"/>
              </w:rPr>
              <w:t xml:space="preserve">, it </w:t>
            </w:r>
            <w:r>
              <w:rPr>
                <w:lang w:eastAsia="en-US"/>
              </w:rPr>
              <w:t>will be to</w:t>
            </w:r>
            <w:r w:rsidRPr="00B1194F">
              <w:rPr>
                <w:lang w:eastAsia="en-US"/>
              </w:rPr>
              <w:t xml:space="preserve"> your advantage to suggest a variety of complicated options. The option you favour is the easiest to understand.</w:t>
            </w:r>
          </w:p>
        </w:tc>
        <w:tc>
          <w:tcPr>
            <w:tcW w:w="756" w:type="dxa"/>
          </w:tcPr>
          <w:p w14:paraId="0C8B629C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5A52C0E1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49" w:type="dxa"/>
          </w:tcPr>
          <w:p w14:paraId="33BE5925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92" w:type="dxa"/>
          </w:tcPr>
          <w:p w14:paraId="286EBF61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9" w:type="dxa"/>
          </w:tcPr>
          <w:p w14:paraId="3BB0A509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  <w:tc>
          <w:tcPr>
            <w:tcW w:w="770" w:type="dxa"/>
          </w:tcPr>
          <w:p w14:paraId="02B817F9" w14:textId="77777777" w:rsidR="00C909F0" w:rsidRDefault="00C909F0" w:rsidP="00C909F0">
            <w:pPr>
              <w:spacing w:before="0"/>
              <w:rPr>
                <w:b/>
                <w:bCs/>
                <w:lang w:eastAsia="en-US"/>
              </w:rPr>
            </w:pPr>
          </w:p>
        </w:tc>
      </w:tr>
    </w:tbl>
    <w:p w14:paraId="3CC5264D" w14:textId="77777777" w:rsidR="008A6585" w:rsidRPr="00BA4E2A" w:rsidRDefault="008A6585" w:rsidP="008A6585">
      <w:pPr>
        <w:spacing w:before="480" w:after="240"/>
        <w:rPr>
          <w:b/>
          <w:bCs/>
        </w:rPr>
      </w:pPr>
      <w:bookmarkStart w:id="3" w:name="_Toc62486919"/>
      <w:r w:rsidRPr="00BA4E2A">
        <w:rPr>
          <w:b/>
          <w:bCs/>
        </w:rPr>
        <w:lastRenderedPageBreak/>
        <w:t>Winning the middle of a negotiation</w:t>
      </w:r>
      <w:bookmarkEnd w:id="3"/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4914"/>
        <w:gridCol w:w="730"/>
        <w:gridCol w:w="725"/>
        <w:gridCol w:w="722"/>
        <w:gridCol w:w="776"/>
        <w:gridCol w:w="759"/>
        <w:gridCol w:w="748"/>
      </w:tblGrid>
      <w:tr w:rsidR="008A6585" w14:paraId="21C3F0F4" w14:textId="77777777" w:rsidTr="00C909F0">
        <w:tc>
          <w:tcPr>
            <w:tcW w:w="4914" w:type="dxa"/>
          </w:tcPr>
          <w:p w14:paraId="725B3C13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Tactic</w:t>
            </w:r>
          </w:p>
        </w:tc>
        <w:tc>
          <w:tcPr>
            <w:tcW w:w="2177" w:type="dxa"/>
            <w:gridSpan w:val="3"/>
          </w:tcPr>
          <w:p w14:paraId="311C9885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Use?</w:t>
            </w:r>
          </w:p>
          <w:p w14:paraId="3113E449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Yes / Maybe / No</w:t>
            </w:r>
          </w:p>
        </w:tc>
        <w:tc>
          <w:tcPr>
            <w:tcW w:w="2283" w:type="dxa"/>
            <w:gridSpan w:val="3"/>
          </w:tcPr>
          <w:p w14:paraId="6329804F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Challenge?</w:t>
            </w:r>
          </w:p>
          <w:p w14:paraId="4A2C54F4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Yes / Maybe / No</w:t>
            </w:r>
          </w:p>
        </w:tc>
      </w:tr>
      <w:tr w:rsidR="00C909F0" w14:paraId="6C4B16CF" w14:textId="77777777" w:rsidTr="00C909F0">
        <w:tc>
          <w:tcPr>
            <w:tcW w:w="4914" w:type="dxa"/>
            <w:vAlign w:val="center"/>
          </w:tcPr>
          <w:p w14:paraId="74FF9216" w14:textId="13D120EE" w:rsidR="00C909F0" w:rsidRDefault="00C909F0" w:rsidP="00C909F0">
            <w:pPr>
              <w:spacing w:after="180"/>
              <w:rPr>
                <w:b/>
                <w:bCs/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1: Resolve the small issues first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It is important to establish good faith at this stage</w:t>
            </w:r>
            <w:r>
              <w:rPr>
                <w:lang w:eastAsia="en-US"/>
              </w:rPr>
              <w:t>;</w:t>
            </w:r>
            <w:r w:rsidRPr="00B1194F">
              <w:rPr>
                <w:lang w:eastAsia="en-US"/>
              </w:rPr>
              <w:t xml:space="preserve"> you</w:t>
            </w:r>
            <w:r>
              <w:rPr>
                <w:lang w:eastAsia="en-US"/>
              </w:rPr>
              <w:t xml:space="preserve"> are</w:t>
            </w:r>
            <w:r w:rsidRPr="00B1194F">
              <w:rPr>
                <w:lang w:eastAsia="en-US"/>
              </w:rPr>
              <w:t xml:space="preserve"> laying the foundation for the end of the negotiation. If you are getting bogged down</w:t>
            </w:r>
            <w:r>
              <w:rPr>
                <w:lang w:eastAsia="en-US"/>
              </w:rPr>
              <w:t>,</w:t>
            </w:r>
            <w:r w:rsidRPr="00B1194F">
              <w:rPr>
                <w:lang w:eastAsia="en-US"/>
              </w:rPr>
              <w:t xml:space="preserve"> is there a smaller issue that can be resolved to start the process</w:t>
            </w:r>
            <w:r>
              <w:rPr>
                <w:lang w:eastAsia="en-US"/>
              </w:rPr>
              <w:t>?</w:t>
            </w:r>
          </w:p>
        </w:tc>
        <w:tc>
          <w:tcPr>
            <w:tcW w:w="730" w:type="dxa"/>
            <w:vAlign w:val="center"/>
          </w:tcPr>
          <w:p w14:paraId="0B9440D8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5" w:type="dxa"/>
            <w:vAlign w:val="center"/>
          </w:tcPr>
          <w:p w14:paraId="518852D8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2" w:type="dxa"/>
            <w:vAlign w:val="center"/>
          </w:tcPr>
          <w:p w14:paraId="75DF0108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76" w:type="dxa"/>
            <w:vAlign w:val="center"/>
          </w:tcPr>
          <w:p w14:paraId="07378493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9" w:type="dxa"/>
            <w:vAlign w:val="center"/>
          </w:tcPr>
          <w:p w14:paraId="77E5A7D5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8" w:type="dxa"/>
            <w:vAlign w:val="center"/>
          </w:tcPr>
          <w:p w14:paraId="40648B91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500AC585" w14:textId="77777777" w:rsidTr="00C909F0">
        <w:tc>
          <w:tcPr>
            <w:tcW w:w="4914" w:type="dxa"/>
            <w:vAlign w:val="center"/>
          </w:tcPr>
          <w:p w14:paraId="17B6FAF0" w14:textId="7E17C9B5" w:rsidR="00C909F0" w:rsidRPr="00EC661E" w:rsidRDefault="00C909F0" w:rsidP="00C909F0">
            <w:pPr>
              <w:spacing w:after="18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2: Always keep an impasse alive with set asides</w:t>
            </w:r>
            <w:r>
              <w:rPr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This is a</w:t>
            </w:r>
            <w:r w:rsidRPr="00B1194F">
              <w:rPr>
                <w:lang w:eastAsia="en-US"/>
              </w:rPr>
              <w:t xml:space="preserve">n issue you agree to disagree on until a later date. </w:t>
            </w:r>
            <w:r>
              <w:rPr>
                <w:lang w:eastAsia="en-US"/>
              </w:rPr>
              <w:t>S</w:t>
            </w:r>
            <w:r w:rsidRPr="00B1194F">
              <w:rPr>
                <w:lang w:eastAsia="en-US"/>
              </w:rPr>
              <w:t>et</w:t>
            </w:r>
            <w:r>
              <w:rPr>
                <w:lang w:eastAsia="en-US"/>
              </w:rPr>
              <w:t>ting</w:t>
            </w:r>
            <w:r w:rsidRPr="00B1194F">
              <w:rPr>
                <w:lang w:eastAsia="en-US"/>
              </w:rPr>
              <w:t xml:space="preserve"> aside emotional issues give</w:t>
            </w:r>
            <w:r>
              <w:rPr>
                <w:lang w:eastAsia="en-US"/>
              </w:rPr>
              <w:t>s</w:t>
            </w:r>
            <w:r w:rsidRPr="00B1194F">
              <w:rPr>
                <w:lang w:eastAsia="en-US"/>
              </w:rPr>
              <w:t xml:space="preserve"> both sides </w:t>
            </w:r>
            <w:r>
              <w:rPr>
                <w:lang w:eastAsia="en-US"/>
              </w:rPr>
              <w:t xml:space="preserve">time </w:t>
            </w:r>
            <w:r w:rsidRPr="00B1194F">
              <w:rPr>
                <w:lang w:eastAsia="en-US"/>
              </w:rPr>
              <w:t>to cool down</w:t>
            </w:r>
            <w:r>
              <w:rPr>
                <w:lang w:eastAsia="en-US"/>
              </w:rPr>
              <w:t>.</w:t>
            </w:r>
          </w:p>
        </w:tc>
        <w:tc>
          <w:tcPr>
            <w:tcW w:w="730" w:type="dxa"/>
          </w:tcPr>
          <w:p w14:paraId="61C586DA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5" w:type="dxa"/>
          </w:tcPr>
          <w:p w14:paraId="71D345D7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2" w:type="dxa"/>
          </w:tcPr>
          <w:p w14:paraId="512B317B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76" w:type="dxa"/>
          </w:tcPr>
          <w:p w14:paraId="01161693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9" w:type="dxa"/>
          </w:tcPr>
          <w:p w14:paraId="476CC58A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8" w:type="dxa"/>
          </w:tcPr>
          <w:p w14:paraId="32E32B8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68BBCB3A" w14:textId="77777777" w:rsidTr="00C909F0">
        <w:tc>
          <w:tcPr>
            <w:tcW w:w="4914" w:type="dxa"/>
            <w:vAlign w:val="center"/>
          </w:tcPr>
          <w:p w14:paraId="48485E7A" w14:textId="75B56E0F" w:rsidR="00C909F0" w:rsidRPr="00EC661E" w:rsidRDefault="00C909F0" w:rsidP="00C909F0">
            <w:pPr>
              <w:spacing w:after="18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</w:t>
            </w:r>
            <w:r>
              <w:rPr>
                <w:b/>
                <w:bCs/>
                <w:lang w:eastAsia="en-US"/>
              </w:rPr>
              <w:t xml:space="preserve">tic 3: Avoid the emotional land </w:t>
            </w:r>
            <w:r w:rsidRPr="00B1194F">
              <w:rPr>
                <w:b/>
                <w:bCs/>
                <w:lang w:eastAsia="en-US"/>
              </w:rPr>
              <w:t>mines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Don't antagonise the other side over emotional topics.</w:t>
            </w:r>
          </w:p>
        </w:tc>
        <w:tc>
          <w:tcPr>
            <w:tcW w:w="730" w:type="dxa"/>
          </w:tcPr>
          <w:p w14:paraId="1B5D3C06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5" w:type="dxa"/>
          </w:tcPr>
          <w:p w14:paraId="62D47384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2" w:type="dxa"/>
          </w:tcPr>
          <w:p w14:paraId="0B6077C8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76" w:type="dxa"/>
          </w:tcPr>
          <w:p w14:paraId="0EDFEB8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9" w:type="dxa"/>
          </w:tcPr>
          <w:p w14:paraId="3F5C6D65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8" w:type="dxa"/>
          </w:tcPr>
          <w:p w14:paraId="57DD881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4ACDF2C4" w14:textId="77777777" w:rsidTr="00C909F0">
        <w:tc>
          <w:tcPr>
            <w:tcW w:w="4914" w:type="dxa"/>
            <w:vAlign w:val="center"/>
          </w:tcPr>
          <w:p w14:paraId="0770523B" w14:textId="21D8A33F" w:rsidR="00C909F0" w:rsidRPr="00EC661E" w:rsidRDefault="00C909F0" w:rsidP="00C909F0">
            <w:pPr>
              <w:spacing w:after="18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4:</w:t>
            </w:r>
            <w:r w:rsidRPr="00B1194F">
              <w:rPr>
                <w:lang w:eastAsia="en-US"/>
              </w:rPr>
              <w:t xml:space="preserve"> </w:t>
            </w:r>
            <w:r w:rsidRPr="00B1194F">
              <w:rPr>
                <w:b/>
                <w:bCs/>
                <w:lang w:eastAsia="en-US"/>
              </w:rPr>
              <w:t>Don't over-react when the other side says no</w:t>
            </w:r>
            <w:r>
              <w:rPr>
                <w:b/>
                <w:bCs/>
                <w:lang w:eastAsia="en-US"/>
              </w:rPr>
              <w:br/>
            </w:r>
            <w:proofErr w:type="spellStart"/>
            <w:r w:rsidRPr="00B1194F">
              <w:rPr>
                <w:lang w:eastAsia="en-US"/>
              </w:rPr>
              <w:t>No</w:t>
            </w:r>
            <w:proofErr w:type="spellEnd"/>
            <w:r w:rsidRPr="00B1194F">
              <w:rPr>
                <w:lang w:eastAsia="en-US"/>
              </w:rPr>
              <w:t xml:space="preserve"> does not necessarily mean never, it could be subject to change.</w:t>
            </w:r>
          </w:p>
        </w:tc>
        <w:tc>
          <w:tcPr>
            <w:tcW w:w="730" w:type="dxa"/>
          </w:tcPr>
          <w:p w14:paraId="7B0F52F5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5" w:type="dxa"/>
          </w:tcPr>
          <w:p w14:paraId="15EE83AF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2" w:type="dxa"/>
          </w:tcPr>
          <w:p w14:paraId="7A3E7BA8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76" w:type="dxa"/>
          </w:tcPr>
          <w:p w14:paraId="4A1AC6E1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9" w:type="dxa"/>
          </w:tcPr>
          <w:p w14:paraId="004C807B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8" w:type="dxa"/>
          </w:tcPr>
          <w:p w14:paraId="11E9A0E4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69ABDA83" w14:textId="77777777" w:rsidTr="00C909F0">
        <w:tc>
          <w:tcPr>
            <w:tcW w:w="4914" w:type="dxa"/>
            <w:vAlign w:val="center"/>
          </w:tcPr>
          <w:p w14:paraId="5DD85A57" w14:textId="77777777" w:rsidR="00C909F0" w:rsidRDefault="00C909F0" w:rsidP="00C909F0">
            <w:pPr>
              <w:spacing w:after="18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5: Be careful of the telephone</w:t>
            </w:r>
            <w:r>
              <w:rPr>
                <w:b/>
                <w:bCs/>
                <w:lang w:eastAsia="en-US"/>
              </w:rPr>
              <w:t xml:space="preserve"> and online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The telephone can be a double-edged sword. It can speed up the process</w:t>
            </w:r>
            <w:r>
              <w:rPr>
                <w:lang w:eastAsia="en-US"/>
              </w:rPr>
              <w:t>,</w:t>
            </w:r>
            <w:r w:rsidRPr="00B1194F">
              <w:rPr>
                <w:lang w:eastAsia="en-US"/>
              </w:rPr>
              <w:t xml:space="preserve"> but it can also stop real movement on an issue. Like email</w:t>
            </w:r>
            <w:r>
              <w:rPr>
                <w:lang w:eastAsia="en-US"/>
              </w:rPr>
              <w:t>,</w:t>
            </w:r>
            <w:r w:rsidRPr="00B1194F">
              <w:rPr>
                <w:lang w:eastAsia="en-US"/>
              </w:rPr>
              <w:t xml:space="preserve"> the words can be </w:t>
            </w:r>
            <w:r>
              <w:rPr>
                <w:lang w:eastAsia="en-US"/>
              </w:rPr>
              <w:t>mis</w:t>
            </w:r>
            <w:r w:rsidRPr="00B1194F">
              <w:rPr>
                <w:lang w:eastAsia="en-US"/>
              </w:rPr>
              <w:t>interpreted</w:t>
            </w:r>
            <w:r>
              <w:rPr>
                <w:lang w:eastAsia="en-US"/>
              </w:rPr>
              <w:t>,</w:t>
            </w:r>
            <w:r w:rsidRPr="00B1194F">
              <w:rPr>
                <w:lang w:eastAsia="en-US"/>
              </w:rPr>
              <w:t xml:space="preserve"> and you can m</w:t>
            </w:r>
            <w:r>
              <w:rPr>
                <w:lang w:eastAsia="en-US"/>
              </w:rPr>
              <w:t>iss subtle visual clues to what</w:t>
            </w:r>
            <w:r w:rsidRPr="00B1194F">
              <w:rPr>
                <w:lang w:eastAsia="en-US"/>
              </w:rPr>
              <w:t xml:space="preserve"> the other side may move on.</w:t>
            </w:r>
          </w:p>
          <w:p w14:paraId="144E4A2D" w14:textId="500EAD32" w:rsidR="00C909F0" w:rsidRPr="00EC661E" w:rsidRDefault="00C909F0" w:rsidP="00C909F0">
            <w:pPr>
              <w:spacing w:after="180"/>
              <w:rPr>
                <w:lang w:eastAsia="en-US"/>
              </w:rPr>
            </w:pPr>
            <w:r>
              <w:rPr>
                <w:lang w:eastAsia="en-US"/>
              </w:rPr>
              <w:t>Online negotiations can reduce the ability to see someone’s body language. One side can use a poor connection to their advantage. You could WhatsApp between your team while the meeting is taking place.</w:t>
            </w:r>
          </w:p>
        </w:tc>
        <w:tc>
          <w:tcPr>
            <w:tcW w:w="730" w:type="dxa"/>
          </w:tcPr>
          <w:p w14:paraId="1A806C67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5" w:type="dxa"/>
          </w:tcPr>
          <w:p w14:paraId="4BCB6CE8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2" w:type="dxa"/>
          </w:tcPr>
          <w:p w14:paraId="561DD0A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76" w:type="dxa"/>
          </w:tcPr>
          <w:p w14:paraId="50DB793A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9" w:type="dxa"/>
          </w:tcPr>
          <w:p w14:paraId="0EC693F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8" w:type="dxa"/>
          </w:tcPr>
          <w:p w14:paraId="73283CA7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23C17E6E" w14:textId="77777777" w:rsidTr="00C909F0">
        <w:tc>
          <w:tcPr>
            <w:tcW w:w="4914" w:type="dxa"/>
            <w:vAlign w:val="center"/>
          </w:tcPr>
          <w:p w14:paraId="00EAB992" w14:textId="3CDC2CB9" w:rsidR="00C909F0" w:rsidRPr="00EC661E" w:rsidRDefault="00C909F0" w:rsidP="00C909F0">
            <w:pPr>
              <w:spacing w:after="18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6: Get it in writing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It is good to consolidate what has been agreed and what is still to be agreed. It is much harder to retract a position once it is written down.</w:t>
            </w:r>
          </w:p>
        </w:tc>
        <w:tc>
          <w:tcPr>
            <w:tcW w:w="730" w:type="dxa"/>
          </w:tcPr>
          <w:p w14:paraId="47DDD1AF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5" w:type="dxa"/>
          </w:tcPr>
          <w:p w14:paraId="23C1F088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2" w:type="dxa"/>
          </w:tcPr>
          <w:p w14:paraId="62355B0F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76" w:type="dxa"/>
          </w:tcPr>
          <w:p w14:paraId="33F33D7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9" w:type="dxa"/>
          </w:tcPr>
          <w:p w14:paraId="158AEBF5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8" w:type="dxa"/>
          </w:tcPr>
          <w:p w14:paraId="0D8AE009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</w:tbl>
    <w:p w14:paraId="511C0E89" w14:textId="77777777" w:rsidR="008A6585" w:rsidRDefault="008A6585" w:rsidP="008A6585">
      <w:pPr>
        <w:spacing w:before="0" w:after="180" w:line="280" w:lineRule="exact"/>
        <w:rPr>
          <w:b/>
          <w:bCs/>
          <w:lang w:eastAsia="en-US"/>
        </w:rPr>
      </w:pPr>
      <w:r>
        <w:rPr>
          <w:b/>
          <w:bCs/>
          <w:lang w:eastAsia="en-US"/>
        </w:rPr>
        <w:br w:type="page"/>
      </w:r>
    </w:p>
    <w:p w14:paraId="3C669009" w14:textId="77777777" w:rsidR="008A6585" w:rsidRPr="00BA4E2A" w:rsidRDefault="008A6585" w:rsidP="008A6585">
      <w:pPr>
        <w:spacing w:before="480" w:after="240"/>
        <w:rPr>
          <w:b/>
          <w:bCs/>
        </w:rPr>
      </w:pPr>
      <w:bookmarkStart w:id="4" w:name="_Toc62486920"/>
      <w:r w:rsidRPr="00BA4E2A">
        <w:rPr>
          <w:b/>
          <w:bCs/>
        </w:rPr>
        <w:t>Closing the deal</w:t>
      </w:r>
      <w:bookmarkEnd w:id="4"/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4930"/>
        <w:gridCol w:w="733"/>
        <w:gridCol w:w="727"/>
        <w:gridCol w:w="724"/>
        <w:gridCol w:w="765"/>
        <w:gridCol w:w="752"/>
        <w:gridCol w:w="743"/>
      </w:tblGrid>
      <w:tr w:rsidR="008A6585" w14:paraId="037C28D6" w14:textId="77777777" w:rsidTr="00F07842">
        <w:tc>
          <w:tcPr>
            <w:tcW w:w="4930" w:type="dxa"/>
          </w:tcPr>
          <w:p w14:paraId="45B0832F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Tactic</w:t>
            </w:r>
          </w:p>
        </w:tc>
        <w:tc>
          <w:tcPr>
            <w:tcW w:w="2184" w:type="dxa"/>
            <w:gridSpan w:val="3"/>
          </w:tcPr>
          <w:p w14:paraId="1FA57AB7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Use?</w:t>
            </w:r>
          </w:p>
          <w:p w14:paraId="2A6193C0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Yes / Maybe / No</w:t>
            </w:r>
          </w:p>
        </w:tc>
        <w:tc>
          <w:tcPr>
            <w:tcW w:w="2260" w:type="dxa"/>
            <w:gridSpan w:val="3"/>
          </w:tcPr>
          <w:p w14:paraId="7C6DFB59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Challenge?</w:t>
            </w:r>
          </w:p>
          <w:p w14:paraId="225073EE" w14:textId="77777777" w:rsidR="008A6585" w:rsidRDefault="008A6585" w:rsidP="00F07842">
            <w:pPr>
              <w:spacing w:before="100" w:after="10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Yes / Maybe / No</w:t>
            </w:r>
          </w:p>
        </w:tc>
      </w:tr>
      <w:tr w:rsidR="00C909F0" w14:paraId="389743DA" w14:textId="77777777" w:rsidTr="00F07842">
        <w:tc>
          <w:tcPr>
            <w:tcW w:w="4930" w:type="dxa"/>
            <w:vAlign w:val="center"/>
          </w:tcPr>
          <w:p w14:paraId="4D375622" w14:textId="5210C755" w:rsidR="00C909F0" w:rsidRDefault="00C909F0" w:rsidP="00C909F0">
            <w:pPr>
              <w:spacing w:after="180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Tactic 1: </w:t>
            </w:r>
            <w:r w:rsidRPr="00B1194F">
              <w:rPr>
                <w:b/>
                <w:bCs/>
                <w:lang w:eastAsia="en-US"/>
              </w:rPr>
              <w:t>Set a deadline</w:t>
            </w:r>
            <w:r>
              <w:rPr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L</w:t>
            </w:r>
            <w:r w:rsidRPr="00B1194F">
              <w:rPr>
                <w:lang w:eastAsia="en-US"/>
              </w:rPr>
              <w:t>etting things drag on can work against you.</w:t>
            </w:r>
          </w:p>
        </w:tc>
        <w:tc>
          <w:tcPr>
            <w:tcW w:w="733" w:type="dxa"/>
          </w:tcPr>
          <w:p w14:paraId="5EF03FA0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</w:tcPr>
          <w:p w14:paraId="41C5BED5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4" w:type="dxa"/>
          </w:tcPr>
          <w:p w14:paraId="5A36C5D2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65" w:type="dxa"/>
          </w:tcPr>
          <w:p w14:paraId="024FFE55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51DCABB7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3" w:type="dxa"/>
          </w:tcPr>
          <w:p w14:paraId="19B4651A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2B7D161D" w14:textId="77777777" w:rsidTr="00F07842">
        <w:tc>
          <w:tcPr>
            <w:tcW w:w="4930" w:type="dxa"/>
            <w:vAlign w:val="center"/>
          </w:tcPr>
          <w:p w14:paraId="1E12DEE2" w14:textId="0CA96C2E" w:rsidR="00C909F0" w:rsidRPr="00EC661E" w:rsidRDefault="00C909F0" w:rsidP="00C909F0">
            <w:pPr>
              <w:spacing w:after="18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2: Allow the other side to make the first move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Even if you s</w:t>
            </w:r>
            <w:r>
              <w:rPr>
                <w:lang w:eastAsia="en-US"/>
              </w:rPr>
              <w:t>et the deadline, you want the</w:t>
            </w:r>
            <w:r w:rsidRPr="00B1194F">
              <w:rPr>
                <w:lang w:eastAsia="en-US"/>
              </w:rPr>
              <w:t xml:space="preserve"> other side to come back with an offer.</w:t>
            </w:r>
          </w:p>
        </w:tc>
        <w:tc>
          <w:tcPr>
            <w:tcW w:w="733" w:type="dxa"/>
          </w:tcPr>
          <w:p w14:paraId="54FD5207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</w:tcPr>
          <w:p w14:paraId="1540ACCA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4" w:type="dxa"/>
          </w:tcPr>
          <w:p w14:paraId="6D31777B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65" w:type="dxa"/>
          </w:tcPr>
          <w:p w14:paraId="1DC18912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24B433DC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3" w:type="dxa"/>
          </w:tcPr>
          <w:p w14:paraId="30363AD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2FCF051C" w14:textId="77777777" w:rsidTr="00F07842">
        <w:tc>
          <w:tcPr>
            <w:tcW w:w="4930" w:type="dxa"/>
            <w:vAlign w:val="center"/>
          </w:tcPr>
          <w:p w14:paraId="78C62A9A" w14:textId="750815A6" w:rsidR="00C909F0" w:rsidRPr="00375317" w:rsidRDefault="00C909F0" w:rsidP="00C909F0">
            <w:pPr>
              <w:spacing w:after="180"/>
              <w:rPr>
                <w:b/>
                <w:bCs/>
                <w:lang w:eastAsia="en-US"/>
              </w:rPr>
            </w:pPr>
            <w:r w:rsidRPr="00375317">
              <w:rPr>
                <w:b/>
                <w:bCs/>
                <w:lang w:eastAsia="en-US"/>
              </w:rPr>
              <w:t>Tactic 3: Why not split the difference?</w:t>
            </w:r>
            <w:r>
              <w:rPr>
                <w:b/>
                <w:bCs/>
                <w:lang w:eastAsia="en-US"/>
              </w:rPr>
              <w:br/>
            </w:r>
            <w:r w:rsidRPr="00375317">
              <w:rPr>
                <w:lang w:eastAsia="en-US"/>
              </w:rPr>
              <w:t xml:space="preserve">As soon as this is said, it changes the deal. </w:t>
            </w:r>
            <w:r>
              <w:rPr>
                <w:lang w:eastAsia="en-US"/>
              </w:rPr>
              <w:t>W</w:t>
            </w:r>
            <w:r w:rsidRPr="00375317">
              <w:rPr>
                <w:lang w:eastAsia="en-US"/>
              </w:rPr>
              <w:t>e are down to finding where that split should go</w:t>
            </w:r>
            <w:r>
              <w:rPr>
                <w:lang w:eastAsia="en-US"/>
              </w:rPr>
              <w:t>.</w:t>
            </w:r>
            <w:r w:rsidRPr="00375317">
              <w:rPr>
                <w:lang w:eastAsia="en-US"/>
              </w:rPr>
              <w:t xml:space="preserve"> 75/25 could be gained.</w:t>
            </w:r>
          </w:p>
        </w:tc>
        <w:tc>
          <w:tcPr>
            <w:tcW w:w="733" w:type="dxa"/>
          </w:tcPr>
          <w:p w14:paraId="655D4E81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</w:tcPr>
          <w:p w14:paraId="47998EB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4" w:type="dxa"/>
          </w:tcPr>
          <w:p w14:paraId="6905EDBB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65" w:type="dxa"/>
          </w:tcPr>
          <w:p w14:paraId="237E0F8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36276E4A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3" w:type="dxa"/>
          </w:tcPr>
          <w:p w14:paraId="21BECD19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3F686A29" w14:textId="77777777" w:rsidTr="00F07842">
        <w:tc>
          <w:tcPr>
            <w:tcW w:w="4930" w:type="dxa"/>
            <w:vAlign w:val="center"/>
          </w:tcPr>
          <w:p w14:paraId="3403D286" w14:textId="1A082BEA" w:rsidR="00C909F0" w:rsidRPr="00375317" w:rsidRDefault="00C909F0" w:rsidP="00C909F0">
            <w:pPr>
              <w:spacing w:after="180"/>
              <w:rPr>
                <w:lang w:eastAsia="en-US"/>
              </w:rPr>
            </w:pPr>
            <w:r w:rsidRPr="00375317">
              <w:rPr>
                <w:b/>
                <w:bCs/>
                <w:lang w:eastAsia="en-US"/>
              </w:rPr>
              <w:t>Tactic 4: Lay planks through the quicksan</w:t>
            </w:r>
            <w:r>
              <w:rPr>
                <w:b/>
                <w:bCs/>
                <w:lang w:eastAsia="en-US"/>
              </w:rPr>
              <w:t>d</w:t>
            </w:r>
            <w:r>
              <w:rPr>
                <w:b/>
                <w:bCs/>
                <w:lang w:eastAsia="en-US"/>
              </w:rPr>
              <w:br/>
            </w:r>
            <w:r w:rsidRPr="00375317">
              <w:rPr>
                <w:lang w:eastAsia="en-US"/>
              </w:rPr>
              <w:t>When the deal is stuck, is there some element that gets one side to move over that sticking point</w:t>
            </w:r>
            <w:r>
              <w:rPr>
                <w:lang w:eastAsia="en-US"/>
              </w:rPr>
              <w:t>? For example:</w:t>
            </w:r>
            <w:r w:rsidRPr="00375317">
              <w:rPr>
                <w:lang w:eastAsia="en-US"/>
              </w:rPr>
              <w:t xml:space="preserve"> spreading the deal over a longer time</w:t>
            </w:r>
            <w:r>
              <w:rPr>
                <w:lang w:eastAsia="en-US"/>
              </w:rPr>
              <w:t>;</w:t>
            </w:r>
            <w:r w:rsidRPr="00375317">
              <w:rPr>
                <w:lang w:eastAsia="en-US"/>
              </w:rPr>
              <w:t xml:space="preserve"> raise</w:t>
            </w:r>
            <w:r>
              <w:rPr>
                <w:lang w:eastAsia="en-US"/>
              </w:rPr>
              <w:t>s</w:t>
            </w:r>
            <w:r w:rsidRPr="00375317">
              <w:rPr>
                <w:lang w:eastAsia="en-US"/>
              </w:rPr>
              <w:t xml:space="preserve"> in instalments; back pay rounded</w:t>
            </w:r>
            <w:r>
              <w:rPr>
                <w:lang w:eastAsia="en-US"/>
              </w:rPr>
              <w:t>-</w:t>
            </w:r>
            <w:r w:rsidRPr="00375317">
              <w:rPr>
                <w:lang w:eastAsia="en-US"/>
              </w:rPr>
              <w:t>up; moving someone to another department.</w:t>
            </w:r>
          </w:p>
        </w:tc>
        <w:tc>
          <w:tcPr>
            <w:tcW w:w="733" w:type="dxa"/>
          </w:tcPr>
          <w:p w14:paraId="11B01FDF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</w:tcPr>
          <w:p w14:paraId="2CC3628A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4" w:type="dxa"/>
          </w:tcPr>
          <w:p w14:paraId="5EA80845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65" w:type="dxa"/>
          </w:tcPr>
          <w:p w14:paraId="6F522B7C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3E5B2DE1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3" w:type="dxa"/>
          </w:tcPr>
          <w:p w14:paraId="4AFBF810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0C4F8485" w14:textId="77777777" w:rsidTr="00F07842">
        <w:tc>
          <w:tcPr>
            <w:tcW w:w="4930" w:type="dxa"/>
            <w:vAlign w:val="center"/>
          </w:tcPr>
          <w:p w14:paraId="23BD7366" w14:textId="211BEDD0" w:rsidR="00C909F0" w:rsidRPr="00EC661E" w:rsidRDefault="00C909F0" w:rsidP="00C909F0">
            <w:pPr>
              <w:spacing w:after="18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5: The last-minute surprise</w:t>
            </w:r>
            <w:r>
              <w:rPr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This is where one side t</w:t>
            </w:r>
            <w:r w:rsidRPr="00B1194F">
              <w:rPr>
                <w:lang w:eastAsia="en-US"/>
              </w:rPr>
              <w:t>hrow</w:t>
            </w:r>
            <w:r>
              <w:rPr>
                <w:lang w:eastAsia="en-US"/>
              </w:rPr>
              <w:t xml:space="preserve">s in an unexpected demand, </w:t>
            </w:r>
            <w:r w:rsidRPr="00B1194F">
              <w:rPr>
                <w:lang w:eastAsia="en-US"/>
              </w:rPr>
              <w:t>usually not so huge as to break the deal</w:t>
            </w:r>
            <w:r>
              <w:rPr>
                <w:lang w:eastAsia="en-US"/>
              </w:rPr>
              <w:t>,</w:t>
            </w:r>
            <w:r w:rsidRPr="00B1194F">
              <w:rPr>
                <w:lang w:eastAsia="en-US"/>
              </w:rPr>
              <w:t xml:space="preserve"> but big enough to get that bit extra. </w:t>
            </w:r>
          </w:p>
        </w:tc>
        <w:tc>
          <w:tcPr>
            <w:tcW w:w="733" w:type="dxa"/>
          </w:tcPr>
          <w:p w14:paraId="3600D4FD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</w:tcPr>
          <w:p w14:paraId="58F7CBF2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4" w:type="dxa"/>
          </w:tcPr>
          <w:p w14:paraId="3557DB2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65" w:type="dxa"/>
          </w:tcPr>
          <w:p w14:paraId="06804C81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0303ADB6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3" w:type="dxa"/>
          </w:tcPr>
          <w:p w14:paraId="3F2BBF1D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7AA9FC8C" w14:textId="77777777" w:rsidTr="00F07842">
        <w:tc>
          <w:tcPr>
            <w:tcW w:w="4930" w:type="dxa"/>
            <w:vAlign w:val="center"/>
          </w:tcPr>
          <w:p w14:paraId="619BA9A5" w14:textId="717395F6" w:rsidR="00C909F0" w:rsidRDefault="00C909F0" w:rsidP="00C909F0">
            <w:pPr>
              <w:spacing w:after="180"/>
              <w:rPr>
                <w:b/>
                <w:bCs/>
                <w:lang w:eastAsia="en-US"/>
              </w:rPr>
            </w:pPr>
            <w:r w:rsidRPr="00375317">
              <w:rPr>
                <w:b/>
                <w:bCs/>
                <w:lang w:eastAsia="en-US"/>
              </w:rPr>
              <w:t>Tactic 6: Know when to hold onto something and when to give up on that issue</w:t>
            </w:r>
            <w:r>
              <w:rPr>
                <w:b/>
                <w:bCs/>
                <w:lang w:eastAsia="en-US"/>
              </w:rPr>
              <w:br/>
            </w:r>
            <w:r w:rsidRPr="00375317">
              <w:rPr>
                <w:lang w:eastAsia="en-US"/>
              </w:rPr>
              <w:t>Sometimes holding out on a condition at all costs can mean you lose the chance for a better deal.</w:t>
            </w:r>
          </w:p>
        </w:tc>
        <w:tc>
          <w:tcPr>
            <w:tcW w:w="733" w:type="dxa"/>
          </w:tcPr>
          <w:p w14:paraId="2BC81C26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</w:tcPr>
          <w:p w14:paraId="36ECA54A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4" w:type="dxa"/>
          </w:tcPr>
          <w:p w14:paraId="2F8DC64D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65" w:type="dxa"/>
          </w:tcPr>
          <w:p w14:paraId="6CFD3736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493BF825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3" w:type="dxa"/>
          </w:tcPr>
          <w:p w14:paraId="1CAB8214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525D1F69" w14:textId="77777777" w:rsidTr="00F07842">
        <w:tc>
          <w:tcPr>
            <w:tcW w:w="4930" w:type="dxa"/>
            <w:vAlign w:val="center"/>
          </w:tcPr>
          <w:p w14:paraId="664A8B68" w14:textId="73064471" w:rsidR="00C909F0" w:rsidRPr="00EC661E" w:rsidRDefault="00C909F0" w:rsidP="00C909F0">
            <w:pPr>
              <w:spacing w:after="180"/>
              <w:rPr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>Tactic 7: You draft the document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lang w:eastAsia="en-US"/>
              </w:rPr>
              <w:t>If you supply the words</w:t>
            </w:r>
            <w:r>
              <w:rPr>
                <w:lang w:eastAsia="en-US"/>
              </w:rPr>
              <w:t>,</w:t>
            </w:r>
            <w:r w:rsidRPr="00B1194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you can ensure they</w:t>
            </w:r>
            <w:r w:rsidRPr="00B1194F">
              <w:rPr>
                <w:lang w:eastAsia="en-US"/>
              </w:rPr>
              <w:t xml:space="preserve"> cannot be misinterpreted.</w:t>
            </w:r>
          </w:p>
        </w:tc>
        <w:tc>
          <w:tcPr>
            <w:tcW w:w="733" w:type="dxa"/>
          </w:tcPr>
          <w:p w14:paraId="54D2FB0F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</w:tcPr>
          <w:p w14:paraId="3CF645F7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4" w:type="dxa"/>
          </w:tcPr>
          <w:p w14:paraId="4EE6F490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65" w:type="dxa"/>
          </w:tcPr>
          <w:p w14:paraId="0D411E5E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1636BEC3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3" w:type="dxa"/>
          </w:tcPr>
          <w:p w14:paraId="4D4104AC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  <w:tr w:rsidR="00C909F0" w14:paraId="774A6EB3" w14:textId="77777777" w:rsidTr="00F07842">
        <w:tc>
          <w:tcPr>
            <w:tcW w:w="4930" w:type="dxa"/>
            <w:vAlign w:val="center"/>
          </w:tcPr>
          <w:p w14:paraId="598AF2AF" w14:textId="100063D9" w:rsidR="00C909F0" w:rsidRPr="00B1194F" w:rsidRDefault="00C909F0" w:rsidP="00C909F0">
            <w:pPr>
              <w:spacing w:after="180"/>
              <w:rPr>
                <w:b/>
                <w:bCs/>
                <w:lang w:eastAsia="en-US"/>
              </w:rPr>
            </w:pPr>
            <w:r w:rsidRPr="00B1194F">
              <w:rPr>
                <w:b/>
                <w:bCs/>
                <w:lang w:eastAsia="en-US"/>
              </w:rPr>
              <w:t xml:space="preserve">Tactic 8: Making sure the agreement is </w:t>
            </w:r>
            <w:r>
              <w:rPr>
                <w:b/>
                <w:bCs/>
                <w:lang w:eastAsia="en-US"/>
              </w:rPr>
              <w:br/>
            </w:r>
            <w:r w:rsidRPr="00B1194F">
              <w:rPr>
                <w:b/>
                <w:bCs/>
                <w:lang w:eastAsia="en-US"/>
              </w:rPr>
              <w:t>stuck to</w:t>
            </w:r>
            <w:r>
              <w:rPr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A</w:t>
            </w:r>
            <w:r w:rsidRPr="00B1194F">
              <w:rPr>
                <w:lang w:eastAsia="en-US"/>
              </w:rPr>
              <w:t>lways agree when the changes happen and that the terms are carried out.</w:t>
            </w:r>
          </w:p>
        </w:tc>
        <w:tc>
          <w:tcPr>
            <w:tcW w:w="733" w:type="dxa"/>
          </w:tcPr>
          <w:p w14:paraId="428D00DC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7" w:type="dxa"/>
          </w:tcPr>
          <w:p w14:paraId="3666D73B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24" w:type="dxa"/>
          </w:tcPr>
          <w:p w14:paraId="225BCE13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65" w:type="dxa"/>
          </w:tcPr>
          <w:p w14:paraId="36FD6800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52" w:type="dxa"/>
          </w:tcPr>
          <w:p w14:paraId="328B8B36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  <w:tc>
          <w:tcPr>
            <w:tcW w:w="743" w:type="dxa"/>
          </w:tcPr>
          <w:p w14:paraId="2E686DD6" w14:textId="77777777" w:rsidR="00C909F0" w:rsidRDefault="00C909F0" w:rsidP="00C909F0">
            <w:pPr>
              <w:rPr>
                <w:b/>
                <w:bCs/>
                <w:lang w:eastAsia="en-US"/>
              </w:rPr>
            </w:pPr>
          </w:p>
        </w:tc>
      </w:tr>
    </w:tbl>
    <w:p w14:paraId="2F49BD43" w14:textId="25DF689D" w:rsidR="00EF5B92" w:rsidRPr="008A6585" w:rsidRDefault="00EF5B92" w:rsidP="008A6585">
      <w:pPr>
        <w:pStyle w:val="Heading3"/>
      </w:pPr>
    </w:p>
    <w:sectPr w:rsidR="00EF5B92" w:rsidRPr="008A6585" w:rsidSect="0079122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134" w:header="720" w:footer="794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24DA" w14:textId="77777777" w:rsidR="00BF2B1D" w:rsidRDefault="00BF2B1D">
      <w:r>
        <w:separator/>
      </w:r>
    </w:p>
  </w:endnote>
  <w:endnote w:type="continuationSeparator" w:id="0">
    <w:p w14:paraId="6D5D42DF" w14:textId="77777777" w:rsidR="00BF2B1D" w:rsidRDefault="00BF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907F" w14:textId="77777777" w:rsidR="001026C5" w:rsidRDefault="001026C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26B50FE" w14:textId="77777777" w:rsidR="001026C5" w:rsidRDefault="001026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9AE6" w14:textId="2D533C32" w:rsidR="001026C5" w:rsidRDefault="001026C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44</w:t>
    </w:r>
    <w:r>
      <w:fldChar w:fldCharType="end"/>
    </w:r>
  </w:p>
  <w:p w14:paraId="0FC8396E" w14:textId="53328141" w:rsidR="001026C5" w:rsidRDefault="001026C5">
    <w:pPr>
      <w:pStyle w:val="Footer"/>
    </w:pPr>
    <w:r w:rsidRPr="00C47041">
      <w:rPr>
        <w:sz w:val="16"/>
        <w:szCs w:val="16"/>
      </w:rPr>
      <w:t xml:space="preserve">Prospect </w:t>
    </w:r>
    <w:r>
      <w:rPr>
        <w:sz w:val="16"/>
        <w:szCs w:val="16"/>
      </w:rPr>
      <w:t>– Negotiation skills for union reps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0DA41" w14:textId="3C605E87" w:rsidR="001026C5" w:rsidRPr="00FA5C2A" w:rsidRDefault="001026C5" w:rsidP="00771CBC">
    <w:pPr>
      <w:tabs>
        <w:tab w:val="right" w:pos="9685"/>
      </w:tabs>
      <w:spacing w:after="100"/>
      <w:rPr>
        <w:b/>
        <w:bCs/>
        <w:iCs/>
        <w:color w:val="000000" w:themeColor="text1"/>
      </w:rPr>
    </w:pPr>
    <w:r w:rsidRPr="00C47041">
      <w:rPr>
        <w:sz w:val="16"/>
        <w:szCs w:val="16"/>
      </w:rPr>
      <w:t>Prospect</w:t>
    </w:r>
    <w:r>
      <w:rPr>
        <w:sz w:val="16"/>
        <w:szCs w:val="16"/>
      </w:rPr>
      <w:t xml:space="preserve"> Negotiation skills for union reps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AB6C" w14:textId="77777777" w:rsidR="00BF2B1D" w:rsidRDefault="00BF2B1D">
      <w:r>
        <w:separator/>
      </w:r>
    </w:p>
  </w:footnote>
  <w:footnote w:type="continuationSeparator" w:id="0">
    <w:p w14:paraId="30748152" w14:textId="77777777" w:rsidR="00BF2B1D" w:rsidRDefault="00BF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AABE" w14:textId="2363AE55" w:rsidR="0027127B" w:rsidRDefault="0027127B">
    <w:pPr>
      <w:pStyle w:val="Header"/>
    </w:pPr>
    <w:r>
      <w:rPr>
        <w:noProof/>
      </w:rPr>
      <w:drawing>
        <wp:inline distT="0" distB="0" distL="0" distR="0" wp14:anchorId="7C20B12B" wp14:editId="0D39AB92">
          <wp:extent cx="1117600" cy="5588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pect_Logo_Black_CMYK-300dpi.ps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7EFFEC82" w14:textId="77777777" w:rsidR="0027127B" w:rsidRPr="0027127B" w:rsidRDefault="0027127B" w:rsidP="0027127B">
    <w:pPr>
      <w:pStyle w:val="Header"/>
      <w:spacing w:before="200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A242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C3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730C20"/>
    <w:multiLevelType w:val="hybridMultilevel"/>
    <w:tmpl w:val="9580C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5A94EDC"/>
    <w:multiLevelType w:val="hybridMultilevel"/>
    <w:tmpl w:val="07FC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D424A1"/>
    <w:multiLevelType w:val="hybridMultilevel"/>
    <w:tmpl w:val="9A0C4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DF44D0"/>
    <w:multiLevelType w:val="hybridMultilevel"/>
    <w:tmpl w:val="6242EB18"/>
    <w:styleLink w:val="ImportedStyle38"/>
    <w:lvl w:ilvl="0" w:tplc="84DC4DD0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20E3BE">
      <w:start w:val="1"/>
      <w:numFmt w:val="bullet"/>
      <w:suff w:val="nothing"/>
      <w:lvlText w:val="o"/>
      <w:lvlJc w:val="left"/>
      <w:pPr>
        <w:tabs>
          <w:tab w:val="left" w:pos="720"/>
        </w:tabs>
        <w:ind w:left="14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16736C">
      <w:start w:val="1"/>
      <w:numFmt w:val="bullet"/>
      <w:suff w:val="nothing"/>
      <w:lvlText w:val="•"/>
      <w:lvlJc w:val="left"/>
      <w:pPr>
        <w:tabs>
          <w:tab w:val="left" w:pos="7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8C1F32">
      <w:start w:val="1"/>
      <w:numFmt w:val="bullet"/>
      <w:suff w:val="nothing"/>
      <w:lvlText w:val="•"/>
      <w:lvlJc w:val="left"/>
      <w:pPr>
        <w:tabs>
          <w:tab w:val="left" w:pos="720"/>
        </w:tabs>
        <w:ind w:left="28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3A06EE">
      <w:start w:val="1"/>
      <w:numFmt w:val="bullet"/>
      <w:suff w:val="nothing"/>
      <w:lvlText w:val="o"/>
      <w:lvlJc w:val="left"/>
      <w:pPr>
        <w:tabs>
          <w:tab w:val="left" w:pos="720"/>
        </w:tabs>
        <w:ind w:left="360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1CA112">
      <w:start w:val="1"/>
      <w:numFmt w:val="bullet"/>
      <w:suff w:val="nothing"/>
      <w:lvlText w:val="•"/>
      <w:lvlJc w:val="left"/>
      <w:pPr>
        <w:tabs>
          <w:tab w:val="left" w:pos="720"/>
        </w:tabs>
        <w:ind w:left="432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72CFA6">
      <w:start w:val="1"/>
      <w:numFmt w:val="bullet"/>
      <w:suff w:val="nothing"/>
      <w:lvlText w:val="•"/>
      <w:lvlJc w:val="left"/>
      <w:pPr>
        <w:tabs>
          <w:tab w:val="left" w:pos="720"/>
        </w:tabs>
        <w:ind w:left="504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3AB2F4">
      <w:start w:val="1"/>
      <w:numFmt w:val="bullet"/>
      <w:suff w:val="nothing"/>
      <w:lvlText w:val="o"/>
      <w:lvlJc w:val="left"/>
      <w:pPr>
        <w:tabs>
          <w:tab w:val="left" w:pos="720"/>
        </w:tabs>
        <w:ind w:left="576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902E70">
      <w:start w:val="1"/>
      <w:numFmt w:val="bullet"/>
      <w:suff w:val="nothing"/>
      <w:lvlText w:val="•"/>
      <w:lvlJc w:val="left"/>
      <w:pPr>
        <w:tabs>
          <w:tab w:val="left" w:pos="720"/>
        </w:tabs>
        <w:ind w:left="648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99B29BF"/>
    <w:multiLevelType w:val="hybridMultilevel"/>
    <w:tmpl w:val="718692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F76F81"/>
    <w:multiLevelType w:val="hybridMultilevel"/>
    <w:tmpl w:val="E68AE368"/>
    <w:lvl w:ilvl="0" w:tplc="D0BA0AA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741FA"/>
    <w:multiLevelType w:val="hybridMultilevel"/>
    <w:tmpl w:val="15526B6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8542AE"/>
    <w:multiLevelType w:val="hybridMultilevel"/>
    <w:tmpl w:val="93B29E76"/>
    <w:lvl w:ilvl="0" w:tplc="B69E794C">
      <w:start w:val="1"/>
      <w:numFmt w:val="bullet"/>
      <w:lvlText w:val="•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145D4"/>
    <w:multiLevelType w:val="hybridMultilevel"/>
    <w:tmpl w:val="231EA8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4EF45DF"/>
    <w:multiLevelType w:val="hybridMultilevel"/>
    <w:tmpl w:val="8EA4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0B16CF"/>
    <w:multiLevelType w:val="hybridMultilevel"/>
    <w:tmpl w:val="88245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B3B33"/>
    <w:multiLevelType w:val="hybridMultilevel"/>
    <w:tmpl w:val="9B102E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F1FA0"/>
    <w:multiLevelType w:val="hybridMultilevel"/>
    <w:tmpl w:val="583EC97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FC460E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0081C06"/>
    <w:multiLevelType w:val="hybridMultilevel"/>
    <w:tmpl w:val="897E4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D6B28"/>
    <w:multiLevelType w:val="hybridMultilevel"/>
    <w:tmpl w:val="70DE6DD4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D4EDC"/>
    <w:multiLevelType w:val="hybridMultilevel"/>
    <w:tmpl w:val="2F4AAE80"/>
    <w:lvl w:ilvl="0" w:tplc="65282CC4">
      <w:start w:val="1"/>
      <w:numFmt w:val="bullet"/>
      <w:lvlText w:val=""/>
      <w:lvlJc w:val="left"/>
      <w:pPr>
        <w:tabs>
          <w:tab w:val="num" w:pos="380"/>
        </w:tabs>
        <w:ind w:left="380" w:hanging="3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06544"/>
    <w:multiLevelType w:val="multilevel"/>
    <w:tmpl w:val="DFFE91E0"/>
    <w:styleLink w:val="ListBullets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3" w15:restartNumberingAfterBreak="0">
    <w:nsid w:val="2CC378FD"/>
    <w:multiLevelType w:val="hybridMultilevel"/>
    <w:tmpl w:val="84D69CA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442F12"/>
    <w:multiLevelType w:val="hybridMultilevel"/>
    <w:tmpl w:val="EADA3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6D92E0E"/>
    <w:multiLevelType w:val="hybridMultilevel"/>
    <w:tmpl w:val="13CE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56F40"/>
    <w:multiLevelType w:val="hybridMultilevel"/>
    <w:tmpl w:val="74705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E836CB"/>
    <w:multiLevelType w:val="hybridMultilevel"/>
    <w:tmpl w:val="7ECCD6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F66F4C"/>
    <w:multiLevelType w:val="hybridMultilevel"/>
    <w:tmpl w:val="E9004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75E9"/>
    <w:multiLevelType w:val="hybridMultilevel"/>
    <w:tmpl w:val="9D624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B1B15"/>
    <w:multiLevelType w:val="hybridMultilevel"/>
    <w:tmpl w:val="77E63136"/>
    <w:lvl w:ilvl="0" w:tplc="AA703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02E28"/>
    <w:multiLevelType w:val="hybridMultilevel"/>
    <w:tmpl w:val="07860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04B"/>
    <w:multiLevelType w:val="hybridMultilevel"/>
    <w:tmpl w:val="6250F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42F6E"/>
    <w:multiLevelType w:val="hybridMultilevel"/>
    <w:tmpl w:val="180CCF76"/>
    <w:lvl w:ilvl="0" w:tplc="FE1E59F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AB0A91"/>
    <w:multiLevelType w:val="hybridMultilevel"/>
    <w:tmpl w:val="3710F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2"/>
    <w:lvlOverride w:ilvl="0">
      <w:lvl w:ilvl="0">
        <w:start w:val="1"/>
        <w:numFmt w:val="bullet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</w:rPr>
      </w:lvl>
    </w:lvlOverride>
  </w:num>
  <w:num w:numId="4">
    <w:abstractNumId w:val="31"/>
  </w:num>
  <w:num w:numId="5">
    <w:abstractNumId w:val="32"/>
  </w:num>
  <w:num w:numId="6">
    <w:abstractNumId w:val="29"/>
  </w:num>
  <w:num w:numId="7">
    <w:abstractNumId w:val="9"/>
  </w:num>
  <w:num w:numId="8">
    <w:abstractNumId w:val="22"/>
  </w:num>
  <w:num w:numId="9">
    <w:abstractNumId w:val="37"/>
  </w:num>
  <w:num w:numId="10">
    <w:abstractNumId w:val="2"/>
  </w:num>
  <w:num w:numId="11">
    <w:abstractNumId w:val="3"/>
  </w:num>
  <w:num w:numId="12">
    <w:abstractNumId w:val="20"/>
  </w:num>
  <w:num w:numId="13">
    <w:abstractNumId w:val="5"/>
  </w:num>
  <w:num w:numId="14">
    <w:abstractNumId w:val="11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30"/>
  </w:num>
  <w:num w:numId="22">
    <w:abstractNumId w:val="28"/>
  </w:num>
  <w:num w:numId="23">
    <w:abstractNumId w:val="33"/>
  </w:num>
  <w:num w:numId="24">
    <w:abstractNumId w:val="38"/>
  </w:num>
  <w:num w:numId="25">
    <w:abstractNumId w:val="26"/>
  </w:num>
  <w:num w:numId="26">
    <w:abstractNumId w:val="21"/>
  </w:num>
  <w:num w:numId="27">
    <w:abstractNumId w:val="16"/>
  </w:num>
  <w:num w:numId="28">
    <w:abstractNumId w:val="36"/>
  </w:num>
  <w:num w:numId="29">
    <w:abstractNumId w:val="4"/>
  </w:num>
  <w:num w:numId="30">
    <w:abstractNumId w:val="14"/>
  </w:num>
  <w:num w:numId="31">
    <w:abstractNumId w:val="13"/>
  </w:num>
  <w:num w:numId="32">
    <w:abstractNumId w:val="10"/>
  </w:num>
  <w:num w:numId="33">
    <w:abstractNumId w:val="27"/>
  </w:num>
  <w:num w:numId="34">
    <w:abstractNumId w:val="1"/>
  </w:num>
  <w:num w:numId="35">
    <w:abstractNumId w:val="15"/>
  </w:num>
  <w:num w:numId="36">
    <w:abstractNumId w:val="0"/>
  </w:num>
  <w:num w:numId="37">
    <w:abstractNumId w:val="8"/>
  </w:num>
  <w:num w:numId="38">
    <w:abstractNumId w:val="7"/>
  </w:num>
  <w:num w:numId="39">
    <w:abstractNumId w:val="24"/>
  </w:num>
  <w:num w:numId="40">
    <w:abstractNumId w:val="35"/>
  </w:num>
  <w:num w:numId="41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SortMethod w:val="0000"/>
  <w:defaultTabStop w:val="56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B"/>
    <w:rsid w:val="00006584"/>
    <w:rsid w:val="000134EA"/>
    <w:rsid w:val="000149D2"/>
    <w:rsid w:val="00014EC8"/>
    <w:rsid w:val="000153C1"/>
    <w:rsid w:val="00016984"/>
    <w:rsid w:val="00020CE7"/>
    <w:rsid w:val="0002223A"/>
    <w:rsid w:val="00023B87"/>
    <w:rsid w:val="00025ECB"/>
    <w:rsid w:val="000276C4"/>
    <w:rsid w:val="000304CC"/>
    <w:rsid w:val="00030B49"/>
    <w:rsid w:val="00032DF0"/>
    <w:rsid w:val="00034577"/>
    <w:rsid w:val="00034D7E"/>
    <w:rsid w:val="00037976"/>
    <w:rsid w:val="000413FF"/>
    <w:rsid w:val="00045D8D"/>
    <w:rsid w:val="00046699"/>
    <w:rsid w:val="00051CC5"/>
    <w:rsid w:val="00052FFC"/>
    <w:rsid w:val="00057BC3"/>
    <w:rsid w:val="00060515"/>
    <w:rsid w:val="000620F9"/>
    <w:rsid w:val="00064583"/>
    <w:rsid w:val="00066445"/>
    <w:rsid w:val="000702B4"/>
    <w:rsid w:val="00071880"/>
    <w:rsid w:val="0007747F"/>
    <w:rsid w:val="00085F40"/>
    <w:rsid w:val="00093550"/>
    <w:rsid w:val="000A0248"/>
    <w:rsid w:val="000A0CAE"/>
    <w:rsid w:val="000A2E2A"/>
    <w:rsid w:val="000A31FE"/>
    <w:rsid w:val="000A74AE"/>
    <w:rsid w:val="000B13D2"/>
    <w:rsid w:val="000B2207"/>
    <w:rsid w:val="000B295D"/>
    <w:rsid w:val="000C09B2"/>
    <w:rsid w:val="000C45DE"/>
    <w:rsid w:val="000C58CB"/>
    <w:rsid w:val="000C7D12"/>
    <w:rsid w:val="000D2062"/>
    <w:rsid w:val="000D30C6"/>
    <w:rsid w:val="000D4443"/>
    <w:rsid w:val="000D5C33"/>
    <w:rsid w:val="000E3910"/>
    <w:rsid w:val="000E3C85"/>
    <w:rsid w:val="000E6B90"/>
    <w:rsid w:val="000E6C6C"/>
    <w:rsid w:val="000E7599"/>
    <w:rsid w:val="000E7EF3"/>
    <w:rsid w:val="000F2F72"/>
    <w:rsid w:val="000F6FFA"/>
    <w:rsid w:val="001026C5"/>
    <w:rsid w:val="00103CE3"/>
    <w:rsid w:val="00103E78"/>
    <w:rsid w:val="001045F8"/>
    <w:rsid w:val="001047EB"/>
    <w:rsid w:val="001053C6"/>
    <w:rsid w:val="00105ADD"/>
    <w:rsid w:val="00110DAF"/>
    <w:rsid w:val="00112247"/>
    <w:rsid w:val="00116037"/>
    <w:rsid w:val="00120BF1"/>
    <w:rsid w:val="00125B5F"/>
    <w:rsid w:val="00130F3F"/>
    <w:rsid w:val="00131706"/>
    <w:rsid w:val="00132149"/>
    <w:rsid w:val="00132547"/>
    <w:rsid w:val="0013394E"/>
    <w:rsid w:val="00134A5D"/>
    <w:rsid w:val="00135D64"/>
    <w:rsid w:val="001465A5"/>
    <w:rsid w:val="0014680A"/>
    <w:rsid w:val="001520AF"/>
    <w:rsid w:val="00153D13"/>
    <w:rsid w:val="00154E3E"/>
    <w:rsid w:val="00156319"/>
    <w:rsid w:val="00157577"/>
    <w:rsid w:val="001658EA"/>
    <w:rsid w:val="001663B5"/>
    <w:rsid w:val="001664C4"/>
    <w:rsid w:val="00167C0A"/>
    <w:rsid w:val="001704BB"/>
    <w:rsid w:val="00171BBC"/>
    <w:rsid w:val="00176E9A"/>
    <w:rsid w:val="00177D6F"/>
    <w:rsid w:val="0018056B"/>
    <w:rsid w:val="00183359"/>
    <w:rsid w:val="00183D96"/>
    <w:rsid w:val="00184602"/>
    <w:rsid w:val="00184B01"/>
    <w:rsid w:val="00187353"/>
    <w:rsid w:val="00191014"/>
    <w:rsid w:val="001918F6"/>
    <w:rsid w:val="00196B64"/>
    <w:rsid w:val="00196C44"/>
    <w:rsid w:val="001A085E"/>
    <w:rsid w:val="001A30DF"/>
    <w:rsid w:val="001A3C24"/>
    <w:rsid w:val="001A47AB"/>
    <w:rsid w:val="001B08BE"/>
    <w:rsid w:val="001B1121"/>
    <w:rsid w:val="001B27B3"/>
    <w:rsid w:val="001B4132"/>
    <w:rsid w:val="001B577D"/>
    <w:rsid w:val="001B7886"/>
    <w:rsid w:val="001C19CE"/>
    <w:rsid w:val="001C1C80"/>
    <w:rsid w:val="001C2705"/>
    <w:rsid w:val="001C7DA3"/>
    <w:rsid w:val="001D1552"/>
    <w:rsid w:val="001D4119"/>
    <w:rsid w:val="001D5656"/>
    <w:rsid w:val="001D5BE6"/>
    <w:rsid w:val="001D7D51"/>
    <w:rsid w:val="001E042A"/>
    <w:rsid w:val="001E2153"/>
    <w:rsid w:val="001E79C6"/>
    <w:rsid w:val="001F4ED1"/>
    <w:rsid w:val="001F54F1"/>
    <w:rsid w:val="00200C94"/>
    <w:rsid w:val="0020135E"/>
    <w:rsid w:val="002020EB"/>
    <w:rsid w:val="00205FD4"/>
    <w:rsid w:val="0020635B"/>
    <w:rsid w:val="00207FA5"/>
    <w:rsid w:val="002133A7"/>
    <w:rsid w:val="00220872"/>
    <w:rsid w:val="00220CB5"/>
    <w:rsid w:val="002217EC"/>
    <w:rsid w:val="00227700"/>
    <w:rsid w:val="00230413"/>
    <w:rsid w:val="00232A21"/>
    <w:rsid w:val="00240DF3"/>
    <w:rsid w:val="00242E08"/>
    <w:rsid w:val="002442EB"/>
    <w:rsid w:val="00244EF3"/>
    <w:rsid w:val="00246DBF"/>
    <w:rsid w:val="00246F79"/>
    <w:rsid w:val="00247E16"/>
    <w:rsid w:val="0025319E"/>
    <w:rsid w:val="00255C5C"/>
    <w:rsid w:val="00257C9F"/>
    <w:rsid w:val="00257E14"/>
    <w:rsid w:val="00261EC6"/>
    <w:rsid w:val="00262F35"/>
    <w:rsid w:val="00266793"/>
    <w:rsid w:val="0027127B"/>
    <w:rsid w:val="00272CBF"/>
    <w:rsid w:val="0027502C"/>
    <w:rsid w:val="00282F3F"/>
    <w:rsid w:val="00284C89"/>
    <w:rsid w:val="00286339"/>
    <w:rsid w:val="00290F7E"/>
    <w:rsid w:val="00291FC0"/>
    <w:rsid w:val="00295F7B"/>
    <w:rsid w:val="00296F43"/>
    <w:rsid w:val="002A3F1E"/>
    <w:rsid w:val="002A58FA"/>
    <w:rsid w:val="002B48FC"/>
    <w:rsid w:val="002B4B7C"/>
    <w:rsid w:val="002B4D5E"/>
    <w:rsid w:val="002B5550"/>
    <w:rsid w:val="002B5B6D"/>
    <w:rsid w:val="002B75A6"/>
    <w:rsid w:val="002C21B7"/>
    <w:rsid w:val="002C2D9C"/>
    <w:rsid w:val="002C318B"/>
    <w:rsid w:val="002C3567"/>
    <w:rsid w:val="002D2331"/>
    <w:rsid w:val="002D4734"/>
    <w:rsid w:val="002D4D3B"/>
    <w:rsid w:val="002D7541"/>
    <w:rsid w:val="002E1B2D"/>
    <w:rsid w:val="002E2A35"/>
    <w:rsid w:val="002E2B34"/>
    <w:rsid w:val="002E2E3A"/>
    <w:rsid w:val="002E3693"/>
    <w:rsid w:val="002E4A10"/>
    <w:rsid w:val="002E64B0"/>
    <w:rsid w:val="002E665F"/>
    <w:rsid w:val="002F368C"/>
    <w:rsid w:val="002F46F9"/>
    <w:rsid w:val="002F6E60"/>
    <w:rsid w:val="00300AA0"/>
    <w:rsid w:val="00302D64"/>
    <w:rsid w:val="00303284"/>
    <w:rsid w:val="00311400"/>
    <w:rsid w:val="00313C90"/>
    <w:rsid w:val="00324A97"/>
    <w:rsid w:val="00325A9F"/>
    <w:rsid w:val="00326BEF"/>
    <w:rsid w:val="003272B9"/>
    <w:rsid w:val="003273E1"/>
    <w:rsid w:val="003275AA"/>
    <w:rsid w:val="00335EFE"/>
    <w:rsid w:val="003379BA"/>
    <w:rsid w:val="00341000"/>
    <w:rsid w:val="003425DB"/>
    <w:rsid w:val="00343C7B"/>
    <w:rsid w:val="003448DA"/>
    <w:rsid w:val="00344CEC"/>
    <w:rsid w:val="00350423"/>
    <w:rsid w:val="003523FF"/>
    <w:rsid w:val="003601A0"/>
    <w:rsid w:val="00362BD3"/>
    <w:rsid w:val="003700BB"/>
    <w:rsid w:val="00370A00"/>
    <w:rsid w:val="00373454"/>
    <w:rsid w:val="00373C03"/>
    <w:rsid w:val="00375317"/>
    <w:rsid w:val="0037698A"/>
    <w:rsid w:val="00377BC7"/>
    <w:rsid w:val="00377D57"/>
    <w:rsid w:val="00382E6F"/>
    <w:rsid w:val="003847A2"/>
    <w:rsid w:val="00385A71"/>
    <w:rsid w:val="003908CD"/>
    <w:rsid w:val="00393205"/>
    <w:rsid w:val="00394232"/>
    <w:rsid w:val="003952E8"/>
    <w:rsid w:val="003978D2"/>
    <w:rsid w:val="003A23CA"/>
    <w:rsid w:val="003A2D85"/>
    <w:rsid w:val="003A56AB"/>
    <w:rsid w:val="003A5A79"/>
    <w:rsid w:val="003A6939"/>
    <w:rsid w:val="003A7C7B"/>
    <w:rsid w:val="003B1594"/>
    <w:rsid w:val="003B2FE9"/>
    <w:rsid w:val="003B5EDD"/>
    <w:rsid w:val="003B7201"/>
    <w:rsid w:val="003B7BBF"/>
    <w:rsid w:val="003C3164"/>
    <w:rsid w:val="003C45AD"/>
    <w:rsid w:val="003D0358"/>
    <w:rsid w:val="003E23C1"/>
    <w:rsid w:val="003E2E3C"/>
    <w:rsid w:val="003E3878"/>
    <w:rsid w:val="003E6BA3"/>
    <w:rsid w:val="003F0763"/>
    <w:rsid w:val="003F34A4"/>
    <w:rsid w:val="003F6D83"/>
    <w:rsid w:val="003F738A"/>
    <w:rsid w:val="00401C8D"/>
    <w:rsid w:val="00402EF8"/>
    <w:rsid w:val="00405C4D"/>
    <w:rsid w:val="004130EB"/>
    <w:rsid w:val="00415FA8"/>
    <w:rsid w:val="00417D65"/>
    <w:rsid w:val="004205F5"/>
    <w:rsid w:val="00423589"/>
    <w:rsid w:val="00424311"/>
    <w:rsid w:val="0042590E"/>
    <w:rsid w:val="004262FC"/>
    <w:rsid w:val="004268AA"/>
    <w:rsid w:val="004273F0"/>
    <w:rsid w:val="00430242"/>
    <w:rsid w:val="00430784"/>
    <w:rsid w:val="0044276C"/>
    <w:rsid w:val="00452828"/>
    <w:rsid w:val="00456DEA"/>
    <w:rsid w:val="00457DFB"/>
    <w:rsid w:val="00460EFB"/>
    <w:rsid w:val="00461331"/>
    <w:rsid w:val="004629CA"/>
    <w:rsid w:val="00462F2F"/>
    <w:rsid w:val="00465AEE"/>
    <w:rsid w:val="0047381D"/>
    <w:rsid w:val="0047511A"/>
    <w:rsid w:val="00477325"/>
    <w:rsid w:val="0048019D"/>
    <w:rsid w:val="004852DA"/>
    <w:rsid w:val="004915D6"/>
    <w:rsid w:val="00491742"/>
    <w:rsid w:val="0049669F"/>
    <w:rsid w:val="00497212"/>
    <w:rsid w:val="0049774F"/>
    <w:rsid w:val="004A32FC"/>
    <w:rsid w:val="004A3A05"/>
    <w:rsid w:val="004A4EDB"/>
    <w:rsid w:val="004A584E"/>
    <w:rsid w:val="004A70C7"/>
    <w:rsid w:val="004B598E"/>
    <w:rsid w:val="004B5ABA"/>
    <w:rsid w:val="004B6840"/>
    <w:rsid w:val="004B716B"/>
    <w:rsid w:val="004C02D8"/>
    <w:rsid w:val="004C120D"/>
    <w:rsid w:val="004C1EE1"/>
    <w:rsid w:val="004C383F"/>
    <w:rsid w:val="004C6FA2"/>
    <w:rsid w:val="004D09C6"/>
    <w:rsid w:val="004D0A6A"/>
    <w:rsid w:val="004D2A30"/>
    <w:rsid w:val="004D3F48"/>
    <w:rsid w:val="004D682A"/>
    <w:rsid w:val="004D7FC6"/>
    <w:rsid w:val="004E0FC8"/>
    <w:rsid w:val="004E12EE"/>
    <w:rsid w:val="004E2C15"/>
    <w:rsid w:val="004E2E49"/>
    <w:rsid w:val="004E5F80"/>
    <w:rsid w:val="004E6364"/>
    <w:rsid w:val="004E784A"/>
    <w:rsid w:val="004F3127"/>
    <w:rsid w:val="004F3497"/>
    <w:rsid w:val="004F3579"/>
    <w:rsid w:val="004F50E8"/>
    <w:rsid w:val="004F7F56"/>
    <w:rsid w:val="00500CE5"/>
    <w:rsid w:val="00504E17"/>
    <w:rsid w:val="005066EE"/>
    <w:rsid w:val="005076F6"/>
    <w:rsid w:val="00510E4B"/>
    <w:rsid w:val="005144E4"/>
    <w:rsid w:val="00515BCE"/>
    <w:rsid w:val="00521CD2"/>
    <w:rsid w:val="005225D5"/>
    <w:rsid w:val="005233D6"/>
    <w:rsid w:val="005236D6"/>
    <w:rsid w:val="005253FF"/>
    <w:rsid w:val="005254D5"/>
    <w:rsid w:val="005255E5"/>
    <w:rsid w:val="005267EE"/>
    <w:rsid w:val="0052708C"/>
    <w:rsid w:val="005312F6"/>
    <w:rsid w:val="0053251A"/>
    <w:rsid w:val="005338EA"/>
    <w:rsid w:val="00535A17"/>
    <w:rsid w:val="00540336"/>
    <w:rsid w:val="005421A0"/>
    <w:rsid w:val="00542569"/>
    <w:rsid w:val="00542F65"/>
    <w:rsid w:val="00545EA1"/>
    <w:rsid w:val="00546343"/>
    <w:rsid w:val="00546F9A"/>
    <w:rsid w:val="00551320"/>
    <w:rsid w:val="00553CF1"/>
    <w:rsid w:val="0056392A"/>
    <w:rsid w:val="00564370"/>
    <w:rsid w:val="00565A10"/>
    <w:rsid w:val="00571741"/>
    <w:rsid w:val="00574B34"/>
    <w:rsid w:val="0057701C"/>
    <w:rsid w:val="0057713B"/>
    <w:rsid w:val="00577532"/>
    <w:rsid w:val="00577C8B"/>
    <w:rsid w:val="00580F85"/>
    <w:rsid w:val="005811C8"/>
    <w:rsid w:val="005825A2"/>
    <w:rsid w:val="0058366B"/>
    <w:rsid w:val="00583EF0"/>
    <w:rsid w:val="00585175"/>
    <w:rsid w:val="00586DFD"/>
    <w:rsid w:val="00586E11"/>
    <w:rsid w:val="005914CA"/>
    <w:rsid w:val="00591757"/>
    <w:rsid w:val="00591C19"/>
    <w:rsid w:val="00592E73"/>
    <w:rsid w:val="00593228"/>
    <w:rsid w:val="005933C4"/>
    <w:rsid w:val="005A1EA4"/>
    <w:rsid w:val="005A3CE9"/>
    <w:rsid w:val="005A4D26"/>
    <w:rsid w:val="005A7A9E"/>
    <w:rsid w:val="005B4534"/>
    <w:rsid w:val="005B4DB4"/>
    <w:rsid w:val="005B5C2D"/>
    <w:rsid w:val="005C22DE"/>
    <w:rsid w:val="005C257A"/>
    <w:rsid w:val="005C4E3E"/>
    <w:rsid w:val="005C5857"/>
    <w:rsid w:val="005C588F"/>
    <w:rsid w:val="005C7169"/>
    <w:rsid w:val="005D15C0"/>
    <w:rsid w:val="005D5ED1"/>
    <w:rsid w:val="005D7F74"/>
    <w:rsid w:val="005E09E1"/>
    <w:rsid w:val="005E41FD"/>
    <w:rsid w:val="005E5BF8"/>
    <w:rsid w:val="005E6782"/>
    <w:rsid w:val="005E6AED"/>
    <w:rsid w:val="005F1767"/>
    <w:rsid w:val="005F36A2"/>
    <w:rsid w:val="005F4F4B"/>
    <w:rsid w:val="005F5DF0"/>
    <w:rsid w:val="006004DB"/>
    <w:rsid w:val="006011DF"/>
    <w:rsid w:val="006042ED"/>
    <w:rsid w:val="00613A0A"/>
    <w:rsid w:val="00614DDC"/>
    <w:rsid w:val="006226D1"/>
    <w:rsid w:val="00623E3B"/>
    <w:rsid w:val="00626576"/>
    <w:rsid w:val="00627EB0"/>
    <w:rsid w:val="0063184F"/>
    <w:rsid w:val="006404CE"/>
    <w:rsid w:val="0064172A"/>
    <w:rsid w:val="00642AA2"/>
    <w:rsid w:val="0064331D"/>
    <w:rsid w:val="00643A7A"/>
    <w:rsid w:val="00643FF9"/>
    <w:rsid w:val="006457DF"/>
    <w:rsid w:val="0065034F"/>
    <w:rsid w:val="006503FF"/>
    <w:rsid w:val="00654A8A"/>
    <w:rsid w:val="0065677B"/>
    <w:rsid w:val="0065751A"/>
    <w:rsid w:val="00661741"/>
    <w:rsid w:val="00662171"/>
    <w:rsid w:val="00664648"/>
    <w:rsid w:val="00665E06"/>
    <w:rsid w:val="00667E2B"/>
    <w:rsid w:val="00671742"/>
    <w:rsid w:val="00671EA1"/>
    <w:rsid w:val="00673708"/>
    <w:rsid w:val="00674E34"/>
    <w:rsid w:val="00675997"/>
    <w:rsid w:val="0068039B"/>
    <w:rsid w:val="006803EC"/>
    <w:rsid w:val="00684C88"/>
    <w:rsid w:val="0068736F"/>
    <w:rsid w:val="006924F7"/>
    <w:rsid w:val="00694588"/>
    <w:rsid w:val="00694E39"/>
    <w:rsid w:val="006951F6"/>
    <w:rsid w:val="0069744C"/>
    <w:rsid w:val="006A2192"/>
    <w:rsid w:val="006A2EF8"/>
    <w:rsid w:val="006A6744"/>
    <w:rsid w:val="006B019D"/>
    <w:rsid w:val="006B3B14"/>
    <w:rsid w:val="006B7786"/>
    <w:rsid w:val="006B7F46"/>
    <w:rsid w:val="006C1264"/>
    <w:rsid w:val="006C7C77"/>
    <w:rsid w:val="006C7E43"/>
    <w:rsid w:val="006D3043"/>
    <w:rsid w:val="006D55D8"/>
    <w:rsid w:val="006D74D2"/>
    <w:rsid w:val="006D7A3B"/>
    <w:rsid w:val="006E201B"/>
    <w:rsid w:val="006F7B93"/>
    <w:rsid w:val="006F7F59"/>
    <w:rsid w:val="00700685"/>
    <w:rsid w:val="007007B0"/>
    <w:rsid w:val="0070310F"/>
    <w:rsid w:val="00703608"/>
    <w:rsid w:val="00710DC2"/>
    <w:rsid w:val="007124DA"/>
    <w:rsid w:val="007130FD"/>
    <w:rsid w:val="0071470F"/>
    <w:rsid w:val="0072260C"/>
    <w:rsid w:val="007328F4"/>
    <w:rsid w:val="0073474A"/>
    <w:rsid w:val="0073482E"/>
    <w:rsid w:val="007355EE"/>
    <w:rsid w:val="00735671"/>
    <w:rsid w:val="00740EE7"/>
    <w:rsid w:val="0074301F"/>
    <w:rsid w:val="00752F15"/>
    <w:rsid w:val="007539F3"/>
    <w:rsid w:val="00757629"/>
    <w:rsid w:val="00760A70"/>
    <w:rsid w:val="00762DF2"/>
    <w:rsid w:val="00764981"/>
    <w:rsid w:val="0076587F"/>
    <w:rsid w:val="00765E3F"/>
    <w:rsid w:val="00771506"/>
    <w:rsid w:val="00771CBC"/>
    <w:rsid w:val="00771DA3"/>
    <w:rsid w:val="00776020"/>
    <w:rsid w:val="00781A07"/>
    <w:rsid w:val="007840E4"/>
    <w:rsid w:val="007845C2"/>
    <w:rsid w:val="00790236"/>
    <w:rsid w:val="0079122B"/>
    <w:rsid w:val="00797E5A"/>
    <w:rsid w:val="007A0964"/>
    <w:rsid w:val="007B46A8"/>
    <w:rsid w:val="007B6155"/>
    <w:rsid w:val="007B6776"/>
    <w:rsid w:val="007B7D99"/>
    <w:rsid w:val="007C56FC"/>
    <w:rsid w:val="007C57A8"/>
    <w:rsid w:val="007C5C51"/>
    <w:rsid w:val="007D09DE"/>
    <w:rsid w:val="007D1850"/>
    <w:rsid w:val="007D23B9"/>
    <w:rsid w:val="007D3C7D"/>
    <w:rsid w:val="007D5AE7"/>
    <w:rsid w:val="007E11A6"/>
    <w:rsid w:val="007E31B9"/>
    <w:rsid w:val="007E49F1"/>
    <w:rsid w:val="007E6038"/>
    <w:rsid w:val="007E6E6A"/>
    <w:rsid w:val="007E72DF"/>
    <w:rsid w:val="007E732D"/>
    <w:rsid w:val="007F3551"/>
    <w:rsid w:val="007F4B6B"/>
    <w:rsid w:val="00800725"/>
    <w:rsid w:val="00803918"/>
    <w:rsid w:val="00813EB9"/>
    <w:rsid w:val="00814AF4"/>
    <w:rsid w:val="0082385E"/>
    <w:rsid w:val="00824716"/>
    <w:rsid w:val="00826101"/>
    <w:rsid w:val="00827FF2"/>
    <w:rsid w:val="00840EA2"/>
    <w:rsid w:val="00843B37"/>
    <w:rsid w:val="008467EE"/>
    <w:rsid w:val="00853531"/>
    <w:rsid w:val="00853CC0"/>
    <w:rsid w:val="00855B59"/>
    <w:rsid w:val="00857829"/>
    <w:rsid w:val="00863D01"/>
    <w:rsid w:val="00864A9D"/>
    <w:rsid w:val="00866AE5"/>
    <w:rsid w:val="00867417"/>
    <w:rsid w:val="00872077"/>
    <w:rsid w:val="0087580F"/>
    <w:rsid w:val="00886E82"/>
    <w:rsid w:val="00896434"/>
    <w:rsid w:val="008A02F2"/>
    <w:rsid w:val="008A110A"/>
    <w:rsid w:val="008A6585"/>
    <w:rsid w:val="008B0412"/>
    <w:rsid w:val="008B4D3E"/>
    <w:rsid w:val="008B50D5"/>
    <w:rsid w:val="008C30E6"/>
    <w:rsid w:val="008C3E3D"/>
    <w:rsid w:val="008C5054"/>
    <w:rsid w:val="008C7423"/>
    <w:rsid w:val="008D0E3C"/>
    <w:rsid w:val="008D3A9C"/>
    <w:rsid w:val="008E369D"/>
    <w:rsid w:val="008E694C"/>
    <w:rsid w:val="008E7214"/>
    <w:rsid w:val="008F0D66"/>
    <w:rsid w:val="009029B1"/>
    <w:rsid w:val="00903034"/>
    <w:rsid w:val="00907904"/>
    <w:rsid w:val="0091659B"/>
    <w:rsid w:val="0092272C"/>
    <w:rsid w:val="009233FF"/>
    <w:rsid w:val="00923571"/>
    <w:rsid w:val="009241DC"/>
    <w:rsid w:val="00924AA1"/>
    <w:rsid w:val="009253B2"/>
    <w:rsid w:val="00926801"/>
    <w:rsid w:val="00927EAC"/>
    <w:rsid w:val="00930027"/>
    <w:rsid w:val="009323F3"/>
    <w:rsid w:val="00941564"/>
    <w:rsid w:val="009445FE"/>
    <w:rsid w:val="00950D33"/>
    <w:rsid w:val="00951CDC"/>
    <w:rsid w:val="00952345"/>
    <w:rsid w:val="00952E50"/>
    <w:rsid w:val="00954047"/>
    <w:rsid w:val="009554DF"/>
    <w:rsid w:val="00955AF1"/>
    <w:rsid w:val="00955F59"/>
    <w:rsid w:val="00956D3F"/>
    <w:rsid w:val="00961CBF"/>
    <w:rsid w:val="009637B8"/>
    <w:rsid w:val="00974800"/>
    <w:rsid w:val="00974FEA"/>
    <w:rsid w:val="00975314"/>
    <w:rsid w:val="00975847"/>
    <w:rsid w:val="00975FF2"/>
    <w:rsid w:val="009763A5"/>
    <w:rsid w:val="00980871"/>
    <w:rsid w:val="00985692"/>
    <w:rsid w:val="00985C89"/>
    <w:rsid w:val="009862AA"/>
    <w:rsid w:val="00986CE3"/>
    <w:rsid w:val="00986E2A"/>
    <w:rsid w:val="00986F5B"/>
    <w:rsid w:val="009921A6"/>
    <w:rsid w:val="00993908"/>
    <w:rsid w:val="00995185"/>
    <w:rsid w:val="009965AB"/>
    <w:rsid w:val="00997087"/>
    <w:rsid w:val="0099723E"/>
    <w:rsid w:val="00997818"/>
    <w:rsid w:val="009A1990"/>
    <w:rsid w:val="009A3283"/>
    <w:rsid w:val="009A4834"/>
    <w:rsid w:val="009A511F"/>
    <w:rsid w:val="009B0765"/>
    <w:rsid w:val="009B1F40"/>
    <w:rsid w:val="009C3056"/>
    <w:rsid w:val="009C30BB"/>
    <w:rsid w:val="009C3DAC"/>
    <w:rsid w:val="009D0598"/>
    <w:rsid w:val="009D1290"/>
    <w:rsid w:val="009D1984"/>
    <w:rsid w:val="009D5A3D"/>
    <w:rsid w:val="009D7EC6"/>
    <w:rsid w:val="009E14E9"/>
    <w:rsid w:val="009F77F7"/>
    <w:rsid w:val="00A058FB"/>
    <w:rsid w:val="00A06B9F"/>
    <w:rsid w:val="00A134D5"/>
    <w:rsid w:val="00A13671"/>
    <w:rsid w:val="00A1597B"/>
    <w:rsid w:val="00A15EAE"/>
    <w:rsid w:val="00A15FDD"/>
    <w:rsid w:val="00A21F38"/>
    <w:rsid w:val="00A3309C"/>
    <w:rsid w:val="00A34AF4"/>
    <w:rsid w:val="00A354E8"/>
    <w:rsid w:val="00A44A82"/>
    <w:rsid w:val="00A46449"/>
    <w:rsid w:val="00A51EB5"/>
    <w:rsid w:val="00A524B2"/>
    <w:rsid w:val="00A54C45"/>
    <w:rsid w:val="00A55D54"/>
    <w:rsid w:val="00A55DE8"/>
    <w:rsid w:val="00A56186"/>
    <w:rsid w:val="00A561B5"/>
    <w:rsid w:val="00A5744E"/>
    <w:rsid w:val="00A577A5"/>
    <w:rsid w:val="00A704C2"/>
    <w:rsid w:val="00A705CE"/>
    <w:rsid w:val="00A728D2"/>
    <w:rsid w:val="00A8365D"/>
    <w:rsid w:val="00A9006C"/>
    <w:rsid w:val="00A90270"/>
    <w:rsid w:val="00A91B07"/>
    <w:rsid w:val="00A95F21"/>
    <w:rsid w:val="00A9691D"/>
    <w:rsid w:val="00A96E79"/>
    <w:rsid w:val="00AA0611"/>
    <w:rsid w:val="00AA2E94"/>
    <w:rsid w:val="00AA68FC"/>
    <w:rsid w:val="00AB23AC"/>
    <w:rsid w:val="00AB4952"/>
    <w:rsid w:val="00AB7C60"/>
    <w:rsid w:val="00AC1B0E"/>
    <w:rsid w:val="00AC1B27"/>
    <w:rsid w:val="00AC3407"/>
    <w:rsid w:val="00AC371A"/>
    <w:rsid w:val="00AD4087"/>
    <w:rsid w:val="00AE7A80"/>
    <w:rsid w:val="00AF436A"/>
    <w:rsid w:val="00AF5642"/>
    <w:rsid w:val="00B014A3"/>
    <w:rsid w:val="00B03F06"/>
    <w:rsid w:val="00B078F6"/>
    <w:rsid w:val="00B11709"/>
    <w:rsid w:val="00B1194F"/>
    <w:rsid w:val="00B1339D"/>
    <w:rsid w:val="00B179FA"/>
    <w:rsid w:val="00B2151F"/>
    <w:rsid w:val="00B23EA3"/>
    <w:rsid w:val="00B24081"/>
    <w:rsid w:val="00B27055"/>
    <w:rsid w:val="00B30615"/>
    <w:rsid w:val="00B35478"/>
    <w:rsid w:val="00B369B7"/>
    <w:rsid w:val="00B4255A"/>
    <w:rsid w:val="00B42693"/>
    <w:rsid w:val="00B443D9"/>
    <w:rsid w:val="00B46961"/>
    <w:rsid w:val="00B5397C"/>
    <w:rsid w:val="00B53ABB"/>
    <w:rsid w:val="00B53C7C"/>
    <w:rsid w:val="00B5574F"/>
    <w:rsid w:val="00B64246"/>
    <w:rsid w:val="00B6492C"/>
    <w:rsid w:val="00B65E56"/>
    <w:rsid w:val="00B71879"/>
    <w:rsid w:val="00B72873"/>
    <w:rsid w:val="00B828F4"/>
    <w:rsid w:val="00B856E7"/>
    <w:rsid w:val="00B858F1"/>
    <w:rsid w:val="00B85B89"/>
    <w:rsid w:val="00B86D4A"/>
    <w:rsid w:val="00B90279"/>
    <w:rsid w:val="00B90556"/>
    <w:rsid w:val="00B93382"/>
    <w:rsid w:val="00B958BD"/>
    <w:rsid w:val="00B96518"/>
    <w:rsid w:val="00BA5BAC"/>
    <w:rsid w:val="00BA61EC"/>
    <w:rsid w:val="00BB1300"/>
    <w:rsid w:val="00BB1A5D"/>
    <w:rsid w:val="00BB34AA"/>
    <w:rsid w:val="00BB5705"/>
    <w:rsid w:val="00BC025E"/>
    <w:rsid w:val="00BC1D2B"/>
    <w:rsid w:val="00BC2BEA"/>
    <w:rsid w:val="00BD4FC1"/>
    <w:rsid w:val="00BE1861"/>
    <w:rsid w:val="00BE217C"/>
    <w:rsid w:val="00BE5D38"/>
    <w:rsid w:val="00BE5E1E"/>
    <w:rsid w:val="00BE5FDD"/>
    <w:rsid w:val="00BF2B1D"/>
    <w:rsid w:val="00BF2FF0"/>
    <w:rsid w:val="00BF40A8"/>
    <w:rsid w:val="00BF6A25"/>
    <w:rsid w:val="00BF6C12"/>
    <w:rsid w:val="00C00D49"/>
    <w:rsid w:val="00C02AD5"/>
    <w:rsid w:val="00C03233"/>
    <w:rsid w:val="00C04BA7"/>
    <w:rsid w:val="00C04FFF"/>
    <w:rsid w:val="00C06B27"/>
    <w:rsid w:val="00C07A91"/>
    <w:rsid w:val="00C1294A"/>
    <w:rsid w:val="00C13353"/>
    <w:rsid w:val="00C15FAC"/>
    <w:rsid w:val="00C20D05"/>
    <w:rsid w:val="00C2571C"/>
    <w:rsid w:val="00C26B8B"/>
    <w:rsid w:val="00C34C24"/>
    <w:rsid w:val="00C440E1"/>
    <w:rsid w:val="00C502BE"/>
    <w:rsid w:val="00C50876"/>
    <w:rsid w:val="00C545C7"/>
    <w:rsid w:val="00C60BD6"/>
    <w:rsid w:val="00C6334A"/>
    <w:rsid w:val="00C65A9B"/>
    <w:rsid w:val="00C70FC1"/>
    <w:rsid w:val="00C71176"/>
    <w:rsid w:val="00C71430"/>
    <w:rsid w:val="00C7292E"/>
    <w:rsid w:val="00C7752C"/>
    <w:rsid w:val="00C82823"/>
    <w:rsid w:val="00C84201"/>
    <w:rsid w:val="00C845C7"/>
    <w:rsid w:val="00C84618"/>
    <w:rsid w:val="00C909F0"/>
    <w:rsid w:val="00C94DA1"/>
    <w:rsid w:val="00C94F31"/>
    <w:rsid w:val="00C97D95"/>
    <w:rsid w:val="00CA2984"/>
    <w:rsid w:val="00CA32DD"/>
    <w:rsid w:val="00CA7042"/>
    <w:rsid w:val="00CB3E6B"/>
    <w:rsid w:val="00CB4B1B"/>
    <w:rsid w:val="00CB73D6"/>
    <w:rsid w:val="00CC05B3"/>
    <w:rsid w:val="00CC2364"/>
    <w:rsid w:val="00CC3B94"/>
    <w:rsid w:val="00CC45C9"/>
    <w:rsid w:val="00CC526D"/>
    <w:rsid w:val="00CC581B"/>
    <w:rsid w:val="00CD0251"/>
    <w:rsid w:val="00CD168F"/>
    <w:rsid w:val="00CD1DF7"/>
    <w:rsid w:val="00CD4661"/>
    <w:rsid w:val="00CE092D"/>
    <w:rsid w:val="00CE0C9A"/>
    <w:rsid w:val="00CE22B1"/>
    <w:rsid w:val="00CE2913"/>
    <w:rsid w:val="00CE3EDA"/>
    <w:rsid w:val="00CE4562"/>
    <w:rsid w:val="00CE7EAC"/>
    <w:rsid w:val="00CF045D"/>
    <w:rsid w:val="00CF2A4E"/>
    <w:rsid w:val="00CF54B1"/>
    <w:rsid w:val="00CF59FD"/>
    <w:rsid w:val="00D02B0E"/>
    <w:rsid w:val="00D02BD5"/>
    <w:rsid w:val="00D0535F"/>
    <w:rsid w:val="00D062E5"/>
    <w:rsid w:val="00D07B1C"/>
    <w:rsid w:val="00D10266"/>
    <w:rsid w:val="00D22480"/>
    <w:rsid w:val="00D303A5"/>
    <w:rsid w:val="00D30578"/>
    <w:rsid w:val="00D36518"/>
    <w:rsid w:val="00D37FEC"/>
    <w:rsid w:val="00D43B94"/>
    <w:rsid w:val="00D46097"/>
    <w:rsid w:val="00D52CC9"/>
    <w:rsid w:val="00D601F7"/>
    <w:rsid w:val="00D65A43"/>
    <w:rsid w:val="00D6772B"/>
    <w:rsid w:val="00D67E57"/>
    <w:rsid w:val="00D71F11"/>
    <w:rsid w:val="00D77C9B"/>
    <w:rsid w:val="00D808BE"/>
    <w:rsid w:val="00D81E4C"/>
    <w:rsid w:val="00D87388"/>
    <w:rsid w:val="00D90519"/>
    <w:rsid w:val="00D9787F"/>
    <w:rsid w:val="00DA3BAA"/>
    <w:rsid w:val="00DA60C0"/>
    <w:rsid w:val="00DB0675"/>
    <w:rsid w:val="00DB1222"/>
    <w:rsid w:val="00DB3061"/>
    <w:rsid w:val="00DC27C5"/>
    <w:rsid w:val="00DC7E36"/>
    <w:rsid w:val="00DD094F"/>
    <w:rsid w:val="00DD107C"/>
    <w:rsid w:val="00DD1A41"/>
    <w:rsid w:val="00DD3327"/>
    <w:rsid w:val="00DD49A6"/>
    <w:rsid w:val="00DD5527"/>
    <w:rsid w:val="00DD73F4"/>
    <w:rsid w:val="00DE097C"/>
    <w:rsid w:val="00DE23D0"/>
    <w:rsid w:val="00DE34FA"/>
    <w:rsid w:val="00DE3EB1"/>
    <w:rsid w:val="00DE56B8"/>
    <w:rsid w:val="00DE5B2E"/>
    <w:rsid w:val="00DF2C40"/>
    <w:rsid w:val="00DF3D6E"/>
    <w:rsid w:val="00DF3FD5"/>
    <w:rsid w:val="00DF4ECD"/>
    <w:rsid w:val="00E00C9B"/>
    <w:rsid w:val="00E03CD9"/>
    <w:rsid w:val="00E06306"/>
    <w:rsid w:val="00E06D8C"/>
    <w:rsid w:val="00E117CD"/>
    <w:rsid w:val="00E15C2B"/>
    <w:rsid w:val="00E178FD"/>
    <w:rsid w:val="00E2072C"/>
    <w:rsid w:val="00E215DA"/>
    <w:rsid w:val="00E23C97"/>
    <w:rsid w:val="00E252DF"/>
    <w:rsid w:val="00E2598E"/>
    <w:rsid w:val="00E34C55"/>
    <w:rsid w:val="00E431ED"/>
    <w:rsid w:val="00E43FFF"/>
    <w:rsid w:val="00E45799"/>
    <w:rsid w:val="00E45D5F"/>
    <w:rsid w:val="00E4670B"/>
    <w:rsid w:val="00E515D7"/>
    <w:rsid w:val="00E568F3"/>
    <w:rsid w:val="00E6197D"/>
    <w:rsid w:val="00E6372C"/>
    <w:rsid w:val="00E6387B"/>
    <w:rsid w:val="00E65447"/>
    <w:rsid w:val="00E666DA"/>
    <w:rsid w:val="00E667A2"/>
    <w:rsid w:val="00E71D2C"/>
    <w:rsid w:val="00E73CC8"/>
    <w:rsid w:val="00E74831"/>
    <w:rsid w:val="00E75683"/>
    <w:rsid w:val="00E81D72"/>
    <w:rsid w:val="00E8278B"/>
    <w:rsid w:val="00E85526"/>
    <w:rsid w:val="00E87200"/>
    <w:rsid w:val="00E8733F"/>
    <w:rsid w:val="00E94929"/>
    <w:rsid w:val="00EA02AE"/>
    <w:rsid w:val="00EA22A1"/>
    <w:rsid w:val="00EA4DA5"/>
    <w:rsid w:val="00EA4E0B"/>
    <w:rsid w:val="00EA5F22"/>
    <w:rsid w:val="00EB2787"/>
    <w:rsid w:val="00EB3BA3"/>
    <w:rsid w:val="00EB4DA2"/>
    <w:rsid w:val="00EB6C18"/>
    <w:rsid w:val="00EC3171"/>
    <w:rsid w:val="00EC661E"/>
    <w:rsid w:val="00EC6AE1"/>
    <w:rsid w:val="00EC73EB"/>
    <w:rsid w:val="00ED42F5"/>
    <w:rsid w:val="00EE0C28"/>
    <w:rsid w:val="00EE1288"/>
    <w:rsid w:val="00EE3A15"/>
    <w:rsid w:val="00EE4523"/>
    <w:rsid w:val="00EE47C1"/>
    <w:rsid w:val="00EE4A7E"/>
    <w:rsid w:val="00EE572E"/>
    <w:rsid w:val="00EE6205"/>
    <w:rsid w:val="00EE6C5C"/>
    <w:rsid w:val="00EE6C78"/>
    <w:rsid w:val="00EF34C0"/>
    <w:rsid w:val="00EF35C7"/>
    <w:rsid w:val="00EF5B92"/>
    <w:rsid w:val="00EF6BA4"/>
    <w:rsid w:val="00EF7345"/>
    <w:rsid w:val="00F005C6"/>
    <w:rsid w:val="00F0063B"/>
    <w:rsid w:val="00F03955"/>
    <w:rsid w:val="00F039DE"/>
    <w:rsid w:val="00F04FC4"/>
    <w:rsid w:val="00F12628"/>
    <w:rsid w:val="00F14F09"/>
    <w:rsid w:val="00F173BF"/>
    <w:rsid w:val="00F17B90"/>
    <w:rsid w:val="00F222D4"/>
    <w:rsid w:val="00F22C14"/>
    <w:rsid w:val="00F26078"/>
    <w:rsid w:val="00F266D4"/>
    <w:rsid w:val="00F37432"/>
    <w:rsid w:val="00F379A8"/>
    <w:rsid w:val="00F406F4"/>
    <w:rsid w:val="00F40DA3"/>
    <w:rsid w:val="00F46AB4"/>
    <w:rsid w:val="00F50FA5"/>
    <w:rsid w:val="00F51004"/>
    <w:rsid w:val="00F54826"/>
    <w:rsid w:val="00F5547E"/>
    <w:rsid w:val="00F55AFE"/>
    <w:rsid w:val="00F56CDC"/>
    <w:rsid w:val="00F56F7C"/>
    <w:rsid w:val="00F5724F"/>
    <w:rsid w:val="00F6081D"/>
    <w:rsid w:val="00F642A0"/>
    <w:rsid w:val="00F65710"/>
    <w:rsid w:val="00F6726B"/>
    <w:rsid w:val="00F70D9F"/>
    <w:rsid w:val="00F7160F"/>
    <w:rsid w:val="00F83201"/>
    <w:rsid w:val="00F845A1"/>
    <w:rsid w:val="00F863F0"/>
    <w:rsid w:val="00F866EB"/>
    <w:rsid w:val="00F91525"/>
    <w:rsid w:val="00F93150"/>
    <w:rsid w:val="00F93D5F"/>
    <w:rsid w:val="00F93EA6"/>
    <w:rsid w:val="00F9592F"/>
    <w:rsid w:val="00F96B26"/>
    <w:rsid w:val="00FA21BB"/>
    <w:rsid w:val="00FA2C71"/>
    <w:rsid w:val="00FA4441"/>
    <w:rsid w:val="00FA5C2A"/>
    <w:rsid w:val="00FB0DAC"/>
    <w:rsid w:val="00FB0E2D"/>
    <w:rsid w:val="00FB108C"/>
    <w:rsid w:val="00FB272B"/>
    <w:rsid w:val="00FB47BC"/>
    <w:rsid w:val="00FC0AE8"/>
    <w:rsid w:val="00FC24DF"/>
    <w:rsid w:val="00FC31A7"/>
    <w:rsid w:val="00FC397C"/>
    <w:rsid w:val="00FC510E"/>
    <w:rsid w:val="00FD2792"/>
    <w:rsid w:val="00FD2E93"/>
    <w:rsid w:val="00FD4B8A"/>
    <w:rsid w:val="00FE08EB"/>
    <w:rsid w:val="00FE0E37"/>
    <w:rsid w:val="00FE2582"/>
    <w:rsid w:val="00FE2A1F"/>
    <w:rsid w:val="00FE52A8"/>
    <w:rsid w:val="00FF1195"/>
    <w:rsid w:val="00FF397C"/>
    <w:rsid w:val="00FF3CDA"/>
    <w:rsid w:val="00FF5CCF"/>
    <w:rsid w:val="00FF6E67"/>
    <w:rsid w:val="00FF7B9E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A090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" w:hAnsi="Tahoma" w:cs="Times New Roman"/>
        <w:sz w:val="22"/>
        <w:szCs w:val="22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D6"/>
    <w:pPr>
      <w:spacing w:before="180"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ascii="Arial" w:hAnsi="Arial"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401C8D"/>
    <w:pPr>
      <w:numPr>
        <w:numId w:val="9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8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Briefingmainheading">
    <w:name w:val="Briefing main heading"/>
    <w:basedOn w:val="Normal"/>
    <w:qFormat/>
    <w:rsid w:val="00FA5C2A"/>
    <w:pPr>
      <w:spacing w:after="300"/>
      <w:jc w:val="center"/>
    </w:pPr>
    <w:rPr>
      <w:rFonts w:cs="Times New Roman"/>
      <w:color w:val="000000" w:themeColor="text1"/>
      <w:sz w:val="76"/>
      <w:szCs w:val="72"/>
    </w:r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next w:val="Normal"/>
    <w:qFormat/>
    <w:rsid w:val="008D0E3C"/>
    <w:rPr>
      <w:b/>
      <w:sz w:val="23"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customStyle="1" w:styleId="briefingsubjectline">
    <w:name w:val="briefing subject line"/>
    <w:basedOn w:val="Normal"/>
    <w:qFormat/>
    <w:rsid w:val="00FA5C2A"/>
    <w:pPr>
      <w:spacing w:before="120" w:after="240"/>
    </w:pPr>
    <w:rPr>
      <w:rFonts w:cs="Times New Roman"/>
      <w:color w:val="000000" w:themeColor="text1"/>
      <w:spacing w:val="4"/>
      <w:sz w:val="48"/>
      <w:szCs w:val="40"/>
    </w:rPr>
  </w:style>
  <w:style w:type="character" w:customStyle="1" w:styleId="UnresolvedMention1">
    <w:name w:val="Unresolved Mention1"/>
    <w:basedOn w:val="DefaultParagraphFont"/>
    <w:uiPriority w:val="99"/>
    <w:rsid w:val="00FA5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5C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2E5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4087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0264C" w:themeColor="accent1" w:themeShade="BF"/>
      <w:kern w:val="0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1026C5"/>
    <w:pPr>
      <w:spacing w:before="0"/>
      <w:ind w:left="420"/>
    </w:pPr>
    <w:rPr>
      <w:rFonts w:asciiTheme="minorHAnsi" w:hAnsiTheme="minorHAnsi"/>
      <w:bCs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7F4B6B"/>
    <w:pPr>
      <w:tabs>
        <w:tab w:val="right" w:leader="dot" w:pos="9061"/>
      </w:tabs>
      <w:spacing w:before="0" w:line="360" w:lineRule="auto"/>
    </w:pPr>
    <w:rPr>
      <w:rFonts w:asciiTheme="minorHAnsi" w:hAnsiTheme="minorHAnsi"/>
      <w:bCs/>
      <w:noProof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1026C5"/>
    <w:pPr>
      <w:tabs>
        <w:tab w:val="right" w:leader="dot" w:pos="9628"/>
      </w:tabs>
      <w:spacing w:before="120"/>
    </w:pPr>
    <w:rPr>
      <w:rFonts w:asciiTheme="minorHAnsi" w:hAnsiTheme="minorHAns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AD4087"/>
    <w:pPr>
      <w:spacing w:before="0"/>
      <w:ind w:left="63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D4087"/>
    <w:pPr>
      <w:spacing w:before="0"/>
      <w:ind w:left="84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D4087"/>
    <w:pPr>
      <w:spacing w:before="0"/>
      <w:ind w:left="105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D4087"/>
    <w:pPr>
      <w:spacing w:before="0"/>
      <w:ind w:left="126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D4087"/>
    <w:pPr>
      <w:spacing w:before="0"/>
      <w:ind w:left="147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D4087"/>
    <w:pPr>
      <w:spacing w:before="0"/>
      <w:ind w:left="1680"/>
    </w:pPr>
    <w:rPr>
      <w:rFonts w:asciiTheme="minorHAnsi" w:hAnsiTheme="minorHAnsi"/>
      <w:sz w:val="20"/>
      <w:szCs w:val="20"/>
    </w:rPr>
  </w:style>
  <w:style w:type="numbering" w:customStyle="1" w:styleId="ImportedStyle38">
    <w:name w:val="Imported Style 38"/>
    <w:rsid w:val="001B4132"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67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675"/>
    <w:rPr>
      <w:rFonts w:cs="Tahoma"/>
      <w:sz w:val="16"/>
      <w:szCs w:val="16"/>
    </w:rPr>
  </w:style>
  <w:style w:type="table" w:customStyle="1" w:styleId="ProspectBectu">
    <w:name w:val="Prospect/Bectu"/>
    <w:basedOn w:val="TableNormal"/>
    <w:uiPriority w:val="99"/>
    <w:rsid w:val="00814AF4"/>
    <w:pPr>
      <w:spacing w:after="0" w:line="240" w:lineRule="auto"/>
    </w:pPr>
    <w:rPr>
      <w:rFonts w:ascii="Arial" w:hAnsi="Arial"/>
      <w:color w:val="000000" w:themeColor="text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/>
        <w:i w:val="0"/>
        <w:sz w:val="21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Roberts.PROSPECT\AppData\Roaming\Microsoft\Templates\briefing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A1893FFD-3473-4305-9B19-42758326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</Template>
  <TotalTime>5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Martin Roberts</cp:lastModifiedBy>
  <cp:revision>5</cp:revision>
  <cp:lastPrinted>2020-03-02T15:40:00Z</cp:lastPrinted>
  <dcterms:created xsi:type="dcterms:W3CDTF">2021-02-12T12:33:00Z</dcterms:created>
  <dcterms:modified xsi:type="dcterms:W3CDTF">2022-09-14T08:26:00Z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-1652589318</vt:i4>
  </property>
  <property fmtid="{D5CDD505-2E9C-101B-9397-08002B2CF9AE}" pid="3" name="_NewReviewCycle">
    <vt:lpwstr/>
  </property>
  <property fmtid="{D5CDD505-2E9C-101B-9397-08002B2CF9AE}" pid="4" name="_EmailSubject">
    <vt:lpwstr>Negotiating course</vt:lpwstr>
  </property>
  <property fmtid="{D5CDD505-2E9C-101B-9397-08002B2CF9AE}" pid="5" name="_AuthorEmail">
    <vt:lpwstr>mroberts@bectu.org.uk</vt:lpwstr>
  </property>
  <property fmtid="{D5CDD505-2E9C-101B-9397-08002B2CF9AE}" pid="6" name="_AuthorEmailDisplayName">
    <vt:lpwstr>Martin Roberts</vt:lpwstr>
  </property>
</Properties>
</file>