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70D7" w14:textId="2E181A78" w:rsidR="008B2F24" w:rsidRDefault="002D17C0" w:rsidP="002D17C0">
      <w:pPr>
        <w:pStyle w:val="BodyText"/>
        <w:jc w:val="center"/>
        <w:rPr>
          <w:rFonts w:ascii="Times New Roman"/>
        </w:rPr>
      </w:pPr>
      <w:r>
        <w:rPr>
          <w:noProof/>
          <w:color w:val="0000FF"/>
        </w:rPr>
        <w:drawing>
          <wp:inline distT="0" distB="0" distL="0" distR="0" wp14:anchorId="4ADD629A" wp14:editId="2A1C79D9">
            <wp:extent cx="1169035" cy="588645"/>
            <wp:effectExtent l="0" t="0" r="0" b="1905"/>
            <wp:docPr id="1" name="Picture 1" descr="Prospect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pect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CA7C" w14:textId="77777777" w:rsidR="008B2F24" w:rsidRDefault="008B2F24">
      <w:pPr>
        <w:pStyle w:val="BodyText"/>
        <w:spacing w:before="94"/>
        <w:rPr>
          <w:rFonts w:ascii="Times New Roman"/>
        </w:rPr>
      </w:pPr>
    </w:p>
    <w:p w14:paraId="13D6E3D9" w14:textId="77777777" w:rsidR="008B2F24" w:rsidRDefault="00000000">
      <w:pPr>
        <w:pStyle w:val="BodyText"/>
        <w:ind w:left="125" w:right="124"/>
        <w:jc w:val="center"/>
      </w:pPr>
      <w:r>
        <w:t>RETIRED</w:t>
      </w:r>
      <w:r>
        <w:rPr>
          <w:spacing w:val="-7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D316</w:t>
      </w:r>
    </w:p>
    <w:p w14:paraId="35EFA56B" w14:textId="77777777" w:rsidR="008B2F24" w:rsidRDefault="00000000">
      <w:pPr>
        <w:pStyle w:val="BodyText"/>
        <w:spacing w:before="37"/>
        <w:ind w:left="125" w:right="128"/>
        <w:jc w:val="center"/>
      </w:pPr>
      <w:r>
        <w:t>Cheshire,</w:t>
      </w:r>
      <w:r>
        <w:rPr>
          <w:spacing w:val="-7"/>
        </w:rPr>
        <w:t xml:space="preserve"> </w:t>
      </w:r>
      <w:r>
        <w:t>Manchester,</w:t>
      </w:r>
      <w:r>
        <w:rPr>
          <w:spacing w:val="-7"/>
        </w:rPr>
        <w:t xml:space="preserve"> </w:t>
      </w:r>
      <w:r>
        <w:t>Merseyside,</w:t>
      </w:r>
      <w:r>
        <w:rPr>
          <w:spacing w:val="-6"/>
        </w:rPr>
        <w:t xml:space="preserve"> </w:t>
      </w:r>
      <w:r>
        <w:t>Deeside,</w:t>
      </w:r>
      <w:r>
        <w:rPr>
          <w:spacing w:val="-7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t>Wales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rPr>
          <w:spacing w:val="-2"/>
        </w:rPr>
        <w:t>Shropshire</w:t>
      </w:r>
    </w:p>
    <w:p w14:paraId="45A9CC71" w14:textId="77777777" w:rsidR="008B2F24" w:rsidRDefault="008B2F24">
      <w:pPr>
        <w:pStyle w:val="BodyText"/>
        <w:spacing w:before="74"/>
      </w:pPr>
    </w:p>
    <w:p w14:paraId="1E14EB56" w14:textId="77777777" w:rsidR="008B2F24" w:rsidRDefault="00000000">
      <w:pPr>
        <w:spacing w:before="1"/>
        <w:ind w:left="128" w:right="3"/>
        <w:jc w:val="center"/>
        <w:rPr>
          <w:rFonts w:ascii="Arial"/>
          <w:b/>
        </w:rPr>
      </w:pPr>
      <w:r>
        <w:rPr>
          <w:rFonts w:ascii="Arial"/>
          <w:b/>
        </w:rPr>
        <w:t>D316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RMG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MEETING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DRAFT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MINUTES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held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15</w:t>
      </w:r>
      <w:r>
        <w:rPr>
          <w:rFonts w:ascii="Arial"/>
          <w:b/>
          <w:vertAlign w:val="superscript"/>
        </w:rPr>
        <w:t>th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MAY-</w:t>
      </w:r>
      <w:r>
        <w:rPr>
          <w:rFonts w:ascii="Arial"/>
          <w:b/>
          <w:spacing w:val="-4"/>
        </w:rPr>
        <w:t>2025</w:t>
      </w:r>
    </w:p>
    <w:p w14:paraId="23950561" w14:textId="77777777" w:rsidR="008B2F24" w:rsidRDefault="00000000">
      <w:pPr>
        <w:pStyle w:val="BodyText"/>
        <w:spacing w:before="37"/>
        <w:ind w:left="125" w:right="126"/>
        <w:jc w:val="center"/>
      </w:pPr>
      <w:r>
        <w:t>A</w:t>
      </w:r>
      <w:r>
        <w:rPr>
          <w:spacing w:val="-7"/>
        </w:rPr>
        <w:t xml:space="preserve"> </w:t>
      </w:r>
      <w:r>
        <w:t>hybrid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proofErr w:type="gramStart"/>
      <w:r>
        <w:t>held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BOAT</w:t>
      </w:r>
      <w:r>
        <w:rPr>
          <w:spacing w:val="-5"/>
        </w:rPr>
        <w:t xml:space="preserve"> </w:t>
      </w:r>
      <w:r>
        <w:t>MUSEUM,</w:t>
      </w:r>
      <w:r>
        <w:rPr>
          <w:spacing w:val="-5"/>
        </w:rPr>
        <w:t xml:space="preserve"> </w:t>
      </w:r>
      <w:r>
        <w:t>Ellesmere</w:t>
      </w:r>
      <w:r>
        <w:rPr>
          <w:spacing w:val="-4"/>
        </w:rPr>
        <w:t xml:space="preserve"> </w:t>
      </w:r>
      <w:r>
        <w:rPr>
          <w:spacing w:val="-2"/>
        </w:rPr>
        <w:t>Port.</w:t>
      </w:r>
    </w:p>
    <w:p w14:paraId="26FC2A7D" w14:textId="77777777" w:rsidR="008B2F24" w:rsidRDefault="00000000">
      <w:pPr>
        <w:spacing w:before="37"/>
        <w:ind w:left="125" w:right="125"/>
        <w:jc w:val="center"/>
        <w:rPr>
          <w:rFonts w:ascii="Arial"/>
          <w:i/>
        </w:rPr>
      </w:pPr>
      <w:r>
        <w:rPr>
          <w:rFonts w:ascii="Arial"/>
          <w:i/>
        </w:rPr>
        <w:t>(Scheduled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1pm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start.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Technical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difficulties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resulted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proofErr w:type="gramStart"/>
      <w:r>
        <w:rPr>
          <w:rFonts w:ascii="Arial"/>
          <w:i/>
        </w:rPr>
        <w:t>delay</w:t>
      </w:r>
      <w:proofErr w:type="gramEnd"/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until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1.30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5"/>
        </w:rPr>
        <w:t>pm)</w:t>
      </w:r>
    </w:p>
    <w:p w14:paraId="32F6C57E" w14:textId="77777777" w:rsidR="008B2F24" w:rsidRDefault="008B2F24">
      <w:pPr>
        <w:pStyle w:val="BodyText"/>
        <w:rPr>
          <w:rFonts w:ascii="Arial"/>
          <w:i/>
        </w:rPr>
      </w:pPr>
    </w:p>
    <w:p w14:paraId="40034293" w14:textId="77777777" w:rsidR="008B2F24" w:rsidRDefault="008B2F24">
      <w:pPr>
        <w:pStyle w:val="BodyText"/>
        <w:spacing w:before="110"/>
        <w:rPr>
          <w:rFonts w:ascii="Arial"/>
          <w:i/>
        </w:rPr>
      </w:pPr>
    </w:p>
    <w:p w14:paraId="581DC609" w14:textId="42572AD5" w:rsidR="008B2F24" w:rsidRDefault="00000000" w:rsidP="002D17C0">
      <w:pPr>
        <w:pStyle w:val="BodyText"/>
        <w:numPr>
          <w:ilvl w:val="0"/>
          <w:numId w:val="3"/>
        </w:numPr>
        <w:spacing w:before="1"/>
        <w:rPr>
          <w:spacing w:val="-2"/>
        </w:rPr>
      </w:pPr>
      <w:r>
        <w:t>Apologies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absence.</w:t>
      </w:r>
    </w:p>
    <w:p w14:paraId="23C7C82D" w14:textId="77777777" w:rsidR="002D17C0" w:rsidRDefault="002D17C0" w:rsidP="002D17C0">
      <w:pPr>
        <w:pStyle w:val="BodyText"/>
        <w:spacing w:before="1"/>
        <w:ind w:left="361"/>
      </w:pPr>
    </w:p>
    <w:p w14:paraId="09432FCC" w14:textId="77777777" w:rsidR="008B2F24" w:rsidRDefault="00000000" w:rsidP="002D17C0">
      <w:pPr>
        <w:pStyle w:val="BodyText"/>
        <w:spacing w:before="37" w:line="276" w:lineRule="auto"/>
        <w:ind w:left="1" w:right="69"/>
      </w:pPr>
      <w:r>
        <w:t>Apologies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t>Baker,</w:t>
      </w:r>
      <w:r>
        <w:rPr>
          <w:spacing w:val="-5"/>
        </w:rPr>
        <w:t xml:space="preserve"> </w:t>
      </w:r>
      <w:r>
        <w:t>Ian</w:t>
      </w:r>
      <w:r>
        <w:rPr>
          <w:spacing w:val="-5"/>
        </w:rPr>
        <w:t xml:space="preserve"> </w:t>
      </w:r>
      <w:r>
        <w:t>Berry,</w:t>
      </w:r>
      <w:r>
        <w:rPr>
          <w:spacing w:val="-5"/>
        </w:rPr>
        <w:t xml:space="preserve"> </w:t>
      </w:r>
      <w:r>
        <w:t>Huw</w:t>
      </w:r>
      <w:r>
        <w:rPr>
          <w:spacing w:val="-5"/>
        </w:rPr>
        <w:t xml:space="preserve"> </w:t>
      </w:r>
      <w:r>
        <w:t>Lloyd-Jones,</w:t>
      </w:r>
      <w:r>
        <w:rPr>
          <w:spacing w:val="-5"/>
        </w:rPr>
        <w:t xml:space="preserve"> </w:t>
      </w:r>
      <w:r>
        <w:t>Daryl</w:t>
      </w:r>
      <w:r>
        <w:rPr>
          <w:spacing w:val="-5"/>
        </w:rPr>
        <w:t xml:space="preserve"> </w:t>
      </w:r>
      <w:r>
        <w:t>Nightingale, Frank Pearson</w:t>
      </w:r>
      <w:proofErr w:type="gramStart"/>
      <w:r>
        <w:t>, Caroline</w:t>
      </w:r>
      <w:proofErr w:type="gramEnd"/>
      <w:r>
        <w:t xml:space="preserve"> Pelham-Lane.</w:t>
      </w:r>
    </w:p>
    <w:p w14:paraId="718D677E" w14:textId="77777777" w:rsidR="008B2F24" w:rsidRDefault="008B2F24">
      <w:pPr>
        <w:pStyle w:val="BodyText"/>
        <w:spacing w:before="35"/>
      </w:pPr>
    </w:p>
    <w:p w14:paraId="58C84A6D" w14:textId="77777777" w:rsidR="008B2F24" w:rsidRPr="002D17C0" w:rsidRDefault="00000000">
      <w:pPr>
        <w:pStyle w:val="ListParagraph"/>
        <w:numPr>
          <w:ilvl w:val="0"/>
          <w:numId w:val="2"/>
        </w:numPr>
        <w:tabs>
          <w:tab w:val="left" w:pos="183"/>
        </w:tabs>
        <w:ind w:left="183" w:hanging="182"/>
      </w:pPr>
      <w:r>
        <w:t>-</w:t>
      </w:r>
      <w:r>
        <w:rPr>
          <w:spacing w:val="-7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16th-May-</w:t>
      </w:r>
      <w:r>
        <w:rPr>
          <w:spacing w:val="-4"/>
        </w:rPr>
        <w:t>2024</w:t>
      </w:r>
    </w:p>
    <w:p w14:paraId="20763B6C" w14:textId="77777777" w:rsidR="002D17C0" w:rsidRDefault="002D17C0" w:rsidP="002D17C0">
      <w:pPr>
        <w:pStyle w:val="ListParagraph"/>
        <w:tabs>
          <w:tab w:val="left" w:pos="183"/>
        </w:tabs>
        <w:ind w:left="183" w:firstLine="0"/>
      </w:pPr>
    </w:p>
    <w:p w14:paraId="16DC28F8" w14:textId="77777777" w:rsidR="008B2F24" w:rsidRDefault="00000000" w:rsidP="002D17C0">
      <w:pPr>
        <w:pStyle w:val="BodyText"/>
        <w:spacing w:before="37" w:line="276" w:lineRule="auto"/>
        <w:ind w:left="1"/>
      </w:pPr>
      <w:r>
        <w:t>It was noted that Douglas Baker was shown as both present and under Apologies for Absence.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emails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proofErr w:type="spellStart"/>
      <w:r>
        <w:t>apologising</w:t>
      </w:r>
      <w:proofErr w:type="spellEnd"/>
      <w:r>
        <w:rPr>
          <w:spacing w:val="-4"/>
        </w:rPr>
        <w:t xml:space="preserve"> </w:t>
      </w:r>
      <w:r>
        <w:t xml:space="preserve">in them. Martin Goose then </w:t>
      </w:r>
      <w:proofErr w:type="gramStart"/>
      <w:r>
        <w:t>proposed</w:t>
      </w:r>
      <w:proofErr w:type="gramEnd"/>
      <w:r>
        <w:t xml:space="preserve"> and Douglas Baker then seconded that after those minor corrections those Minutes were a correct record of the meeting and were signed by our Chairman, John Augoustis.</w:t>
      </w:r>
    </w:p>
    <w:p w14:paraId="171C5EC1" w14:textId="77777777" w:rsidR="008B2F24" w:rsidRDefault="008B2F24">
      <w:pPr>
        <w:pStyle w:val="BodyText"/>
        <w:spacing w:before="32"/>
      </w:pPr>
    </w:p>
    <w:p w14:paraId="366BCF7B" w14:textId="77777777" w:rsidR="008B2F24" w:rsidRPr="002D17C0" w:rsidRDefault="00000000">
      <w:pPr>
        <w:pStyle w:val="ListParagraph"/>
        <w:numPr>
          <w:ilvl w:val="0"/>
          <w:numId w:val="2"/>
        </w:numPr>
        <w:tabs>
          <w:tab w:val="left" w:pos="183"/>
        </w:tabs>
        <w:ind w:left="183" w:hanging="182"/>
      </w:pPr>
      <w:r>
        <w:t>-Matters</w:t>
      </w:r>
      <w:r>
        <w:rPr>
          <w:spacing w:val="-3"/>
        </w:rPr>
        <w:t xml:space="preserve"> </w:t>
      </w:r>
      <w:r>
        <w:rPr>
          <w:spacing w:val="-2"/>
        </w:rPr>
        <w:t>Arising.</w:t>
      </w:r>
    </w:p>
    <w:p w14:paraId="0CCE7FAD" w14:textId="77777777" w:rsidR="002D17C0" w:rsidRDefault="002D17C0" w:rsidP="002D17C0">
      <w:pPr>
        <w:pStyle w:val="ListParagraph"/>
        <w:tabs>
          <w:tab w:val="left" w:pos="183"/>
        </w:tabs>
        <w:ind w:left="183" w:firstLine="0"/>
      </w:pPr>
    </w:p>
    <w:p w14:paraId="61037274" w14:textId="77777777" w:rsidR="008B2F24" w:rsidRDefault="00000000" w:rsidP="002D17C0">
      <w:pPr>
        <w:pStyle w:val="BodyText"/>
        <w:spacing w:before="37" w:line="276" w:lineRule="auto"/>
        <w:ind w:left="1" w:right="509"/>
      </w:pPr>
      <w:r>
        <w:t>A</w:t>
      </w:r>
      <w:r>
        <w:rPr>
          <w:spacing w:val="-3"/>
        </w:rPr>
        <w:t xml:space="preserve"> </w:t>
      </w:r>
      <w:r>
        <w:t>footnote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postponement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BT</w:t>
      </w:r>
      <w:r>
        <w:rPr>
          <w:spacing w:val="-3"/>
        </w:rPr>
        <w:t xml:space="preserve"> </w:t>
      </w:r>
      <w:r>
        <w:t>landline</w:t>
      </w:r>
      <w:r>
        <w:rPr>
          <w:spacing w:val="-3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discussion with BT members was further commented on by Martin Goose who updated members on communications prepared for dependent alarm systems.</w:t>
      </w:r>
    </w:p>
    <w:p w14:paraId="5C4AC500" w14:textId="77777777" w:rsidR="008B2F24" w:rsidRDefault="008B2F24">
      <w:pPr>
        <w:pStyle w:val="BodyText"/>
        <w:spacing w:before="34"/>
      </w:pPr>
    </w:p>
    <w:p w14:paraId="3B746A51" w14:textId="6DBC3C6A" w:rsidR="008B2F24" w:rsidRDefault="00000000">
      <w:pPr>
        <w:pStyle w:val="BodyText"/>
        <w:ind w:left="1"/>
        <w:rPr>
          <w:spacing w:val="-2"/>
        </w:rPr>
      </w:pPr>
      <w:r>
        <w:t>4-Report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RMG</w:t>
      </w:r>
      <w:r>
        <w:rPr>
          <w:spacing w:val="-5"/>
        </w:rPr>
        <w:t xml:space="preserve"> </w:t>
      </w:r>
      <w:r>
        <w:t>ADC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rPr>
          <w:spacing w:val="-2"/>
        </w:rPr>
        <w:t>2025</w:t>
      </w:r>
    </w:p>
    <w:p w14:paraId="77B1CE37" w14:textId="77777777" w:rsidR="002D17C0" w:rsidRDefault="002D17C0">
      <w:pPr>
        <w:pStyle w:val="BodyText"/>
        <w:ind w:left="1"/>
      </w:pPr>
    </w:p>
    <w:p w14:paraId="5C994572" w14:textId="77777777" w:rsidR="008B2F24" w:rsidRDefault="00000000" w:rsidP="002D17C0">
      <w:pPr>
        <w:pStyle w:val="BodyText"/>
        <w:spacing w:before="1" w:line="276" w:lineRule="auto"/>
      </w:pPr>
      <w:r>
        <w:t>(Our appointed delegate David Hindley and deputy John Wright attended the ADC 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unfortunate</w:t>
      </w:r>
      <w:r>
        <w:rPr>
          <w:spacing w:val="-4"/>
        </w:rPr>
        <w:t xml:space="preserve"> </w:t>
      </w:r>
      <w:r>
        <w:t>withdrawal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Dominic</w:t>
      </w:r>
      <w:r>
        <w:rPr>
          <w:spacing w:val="-4"/>
        </w:rPr>
        <w:t xml:space="preserve"> </w:t>
      </w:r>
      <w:r>
        <w:t>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Charity</w:t>
      </w:r>
      <w:r>
        <w:rPr>
          <w:spacing w:val="-4"/>
        </w:rPr>
        <w:t xml:space="preserve"> </w:t>
      </w:r>
      <w:r>
        <w:t>work pressures at the time)</w:t>
      </w:r>
    </w:p>
    <w:p w14:paraId="7F0A1887" w14:textId="77777777" w:rsidR="008B2F24" w:rsidRDefault="008B2F24">
      <w:pPr>
        <w:pStyle w:val="BodyText"/>
        <w:spacing w:before="34"/>
      </w:pPr>
    </w:p>
    <w:p w14:paraId="415BE562" w14:textId="77777777" w:rsidR="008B2F24" w:rsidRDefault="00000000">
      <w:pPr>
        <w:pStyle w:val="BodyText"/>
        <w:ind w:left="1"/>
      </w:pPr>
      <w:r>
        <w:t>David</w:t>
      </w:r>
      <w:r>
        <w:rPr>
          <w:spacing w:val="-4"/>
        </w:rPr>
        <w:t xml:space="preserve"> </w:t>
      </w:r>
      <w:r>
        <w:t>Hindley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follows;</w:t>
      </w:r>
      <w:proofErr w:type="gramEnd"/>
    </w:p>
    <w:p w14:paraId="7D7BC1A1" w14:textId="77777777" w:rsidR="008B2F24" w:rsidRDefault="008B2F24">
      <w:pPr>
        <w:pStyle w:val="BodyText"/>
        <w:spacing w:before="74"/>
      </w:pPr>
    </w:p>
    <w:p w14:paraId="0FC04650" w14:textId="4854D21C" w:rsidR="008B2F24" w:rsidRDefault="00000000">
      <w:pPr>
        <w:pStyle w:val="BodyText"/>
        <w:spacing w:line="276" w:lineRule="auto"/>
        <w:ind w:left="1"/>
      </w:pPr>
      <w:r>
        <w:t>This was the first time the new Prospect/</w:t>
      </w:r>
      <w:proofErr w:type="spellStart"/>
      <w:r>
        <w:t>Bectu</w:t>
      </w:r>
      <w:proofErr w:type="spellEnd"/>
      <w:r>
        <w:t xml:space="preserve"> HQ in Rochester Row with its improved Conference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used.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he</w:t>
      </w:r>
      <w:r w:rsidR="002D17C0">
        <w:rPr>
          <w:spacing w:val="-3"/>
        </w:rPr>
        <w:t xml:space="preserve">, </w:t>
      </w:r>
      <w:r>
        <w:t>John</w:t>
      </w:r>
      <w:r>
        <w:rPr>
          <w:spacing w:val="-3"/>
        </w:rPr>
        <w:t xml:space="preserve"> </w:t>
      </w:r>
      <w:r>
        <w:t>Wright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Augoustis</w:t>
      </w:r>
      <w:r>
        <w:rPr>
          <w:spacing w:val="-3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 xml:space="preserve">NC delegate) were </w:t>
      </w:r>
      <w:proofErr w:type="gramStart"/>
      <w:r>
        <w:t>placed</w:t>
      </w:r>
      <w:proofErr w:type="gramEnd"/>
      <w:r>
        <w:t xml:space="preserve"> in the Wellington Hotel, convenient for the ADC venue.</w:t>
      </w:r>
    </w:p>
    <w:p w14:paraId="5E561240" w14:textId="77777777" w:rsidR="008B2F24" w:rsidRDefault="008B2F24">
      <w:pPr>
        <w:pStyle w:val="BodyText"/>
        <w:spacing w:line="276" w:lineRule="auto"/>
        <w:sectPr w:rsidR="008B2F24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2706FB04" w14:textId="107B5953" w:rsidR="008B2F24" w:rsidRDefault="00000000">
      <w:pPr>
        <w:spacing w:before="79" w:line="276" w:lineRule="auto"/>
        <w:ind w:left="1" w:right="69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It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was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noted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that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our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Branch’s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second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Motion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NC’s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Mentoring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Group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feasibility,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listed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as Motion </w:t>
      </w:r>
      <w:proofErr w:type="gramStart"/>
      <w:r>
        <w:rPr>
          <w:rFonts w:ascii="Arial" w:hAnsi="Arial"/>
          <w:i/>
        </w:rPr>
        <w:t>33</w:t>
      </w:r>
      <w:proofErr w:type="gramEnd"/>
      <w:r>
        <w:rPr>
          <w:rFonts w:ascii="Arial" w:hAnsi="Arial"/>
          <w:i/>
        </w:rPr>
        <w:t xml:space="preserve"> was deemed ‘Existing Policy’ and not eligible in the SOC’s eyes for </w:t>
      </w:r>
      <w:r w:rsidR="002D17C0">
        <w:rPr>
          <w:rFonts w:ascii="Arial" w:hAnsi="Arial"/>
          <w:i/>
        </w:rPr>
        <w:t>Conference</w:t>
      </w:r>
      <w:r>
        <w:rPr>
          <w:rFonts w:ascii="Arial" w:hAnsi="Arial"/>
          <w:i/>
        </w:rPr>
        <w:t xml:space="preserve"> debate.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Before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start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ADC,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John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David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sought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explanation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from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SOC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(Bob Avery) and it was agreed that a fresh motion for 2026 requesting progress of that policy would be acceptable.</w:t>
      </w:r>
    </w:p>
    <w:p w14:paraId="51D89328" w14:textId="77777777" w:rsidR="008B2F24" w:rsidRDefault="008B2F24">
      <w:pPr>
        <w:pStyle w:val="BodyText"/>
        <w:spacing w:before="33"/>
        <w:rPr>
          <w:rFonts w:ascii="Arial"/>
          <w:i/>
        </w:rPr>
      </w:pPr>
    </w:p>
    <w:p w14:paraId="7C92430A" w14:textId="77777777" w:rsidR="008B2F24" w:rsidRDefault="00000000">
      <w:pPr>
        <w:pStyle w:val="BodyText"/>
        <w:ind w:left="1"/>
      </w:pPr>
      <w:r>
        <w:t>The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elections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2"/>
        </w:rPr>
        <w:t>were:</w:t>
      </w:r>
    </w:p>
    <w:p w14:paraId="1222CADA" w14:textId="77777777" w:rsidR="008B2F24" w:rsidRDefault="00000000">
      <w:pPr>
        <w:pStyle w:val="BodyText"/>
        <w:tabs>
          <w:tab w:val="left" w:pos="1660"/>
        </w:tabs>
        <w:spacing w:before="37" w:line="276" w:lineRule="auto"/>
        <w:ind w:left="1" w:right="5644"/>
      </w:pPr>
      <w:r>
        <w:rPr>
          <w:spacing w:val="-2"/>
        </w:rPr>
        <w:t>President:</w:t>
      </w:r>
      <w:r>
        <w:tab/>
        <w:t>Dr.</w:t>
      </w:r>
      <w:r>
        <w:rPr>
          <w:spacing w:val="-16"/>
        </w:rPr>
        <w:t xml:space="preserve"> </w:t>
      </w:r>
      <w:r>
        <w:t>Andrew</w:t>
      </w:r>
      <w:r>
        <w:rPr>
          <w:spacing w:val="-15"/>
        </w:rPr>
        <w:t xml:space="preserve"> </w:t>
      </w:r>
      <w:r>
        <w:t>Ruffhead Vice-President:</w:t>
      </w:r>
      <w:r>
        <w:rPr>
          <w:spacing w:val="80"/>
        </w:rPr>
        <w:t xml:space="preserve"> </w:t>
      </w:r>
      <w:r>
        <w:t>Tom James</w:t>
      </w:r>
    </w:p>
    <w:p w14:paraId="5BCCB62E" w14:textId="77777777" w:rsidR="008B2F24" w:rsidRDefault="008B2F24">
      <w:pPr>
        <w:pStyle w:val="BodyText"/>
        <w:spacing w:before="35"/>
      </w:pPr>
    </w:p>
    <w:p w14:paraId="5775EA43" w14:textId="17E10056" w:rsidR="008B2F24" w:rsidRDefault="00000000">
      <w:pPr>
        <w:pStyle w:val="BodyText"/>
        <w:ind w:left="1"/>
      </w:pPr>
      <w:r>
        <w:t>SOC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(3years)</w:t>
      </w:r>
      <w:r>
        <w:rPr>
          <w:spacing w:val="56"/>
        </w:rPr>
        <w:t xml:space="preserve"> </w:t>
      </w:r>
      <w:r>
        <w:t>Frances</w:t>
      </w:r>
      <w:r>
        <w:rPr>
          <w:spacing w:val="-3"/>
        </w:rPr>
        <w:t xml:space="preserve"> </w:t>
      </w:r>
      <w:r>
        <w:t>Butler</w:t>
      </w:r>
      <w:r>
        <w:rPr>
          <w:spacing w:val="-3"/>
        </w:rPr>
        <w:t xml:space="preserve"> </w:t>
      </w:r>
      <w:r>
        <w:t>(D313</w:t>
      </w:r>
      <w:r>
        <w:rPr>
          <w:spacing w:val="-3"/>
        </w:rPr>
        <w:t xml:space="preserve"> </w:t>
      </w:r>
      <w:r w:rsidR="002D17C0">
        <w:t>neighboring</w:t>
      </w:r>
      <w:r>
        <w:rPr>
          <w:spacing w:val="-3"/>
        </w:rPr>
        <w:t xml:space="preserve"> </w:t>
      </w:r>
      <w:r>
        <w:t>Branch-</w:t>
      </w:r>
      <w:r>
        <w:rPr>
          <w:spacing w:val="-3"/>
        </w:rPr>
        <w:t xml:space="preserve"> </w:t>
      </w:r>
      <w:proofErr w:type="gramStart"/>
      <w:r>
        <w:t>North</w:t>
      </w:r>
      <w:r>
        <w:rPr>
          <w:spacing w:val="-3"/>
        </w:rPr>
        <w:t xml:space="preserve"> </w:t>
      </w:r>
      <w:r>
        <w:rPr>
          <w:spacing w:val="-2"/>
        </w:rPr>
        <w:t>west</w:t>
      </w:r>
      <w:proofErr w:type="gramEnd"/>
      <w:r>
        <w:rPr>
          <w:spacing w:val="-2"/>
        </w:rPr>
        <w:t>)</w:t>
      </w:r>
    </w:p>
    <w:p w14:paraId="61A8E73A" w14:textId="77777777" w:rsidR="008B2F24" w:rsidRDefault="008B2F24">
      <w:pPr>
        <w:pStyle w:val="BodyText"/>
        <w:spacing w:before="74"/>
      </w:pPr>
    </w:p>
    <w:p w14:paraId="27BB8293" w14:textId="77777777" w:rsidR="008B2F24" w:rsidRDefault="00000000">
      <w:pPr>
        <w:pStyle w:val="BodyText"/>
        <w:spacing w:line="276" w:lineRule="auto"/>
        <w:ind w:left="1"/>
      </w:pPr>
      <w:r>
        <w:t>Whilst</w:t>
      </w:r>
      <w:r>
        <w:rPr>
          <w:spacing w:val="-4"/>
        </w:rPr>
        <w:t xml:space="preserve"> </w:t>
      </w:r>
      <w:r>
        <w:t>RMG</w:t>
      </w:r>
      <w:r>
        <w:rPr>
          <w:spacing w:val="-4"/>
        </w:rPr>
        <w:t xml:space="preserve"> </w:t>
      </w:r>
      <w:r>
        <w:t>Bulletins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circulated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ADC giving further details.</w:t>
      </w:r>
    </w:p>
    <w:p w14:paraId="5F8D0775" w14:textId="77777777" w:rsidR="008B2F24" w:rsidRDefault="00000000">
      <w:pPr>
        <w:pStyle w:val="BodyText"/>
        <w:spacing w:line="276" w:lineRule="auto"/>
        <w:ind w:left="1" w:right="23"/>
      </w:pPr>
      <w:r>
        <w:t>David described his approach to our Motion 11 which he had formally proposed there. David had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almost</w:t>
      </w:r>
      <w:r>
        <w:rPr>
          <w:spacing w:val="-3"/>
        </w:rPr>
        <w:t xml:space="preserve"> </w:t>
      </w:r>
      <w:r>
        <w:t>150,000,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that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resulting financial contribution was significant. The Group had a significant delegation at Prospect National Conferences and other </w:t>
      </w:r>
      <w:proofErr w:type="gramStart"/>
      <w:r>
        <w:t>local retired</w:t>
      </w:r>
      <w:proofErr w:type="gramEnd"/>
      <w:r>
        <w:t xml:space="preserve"> members helped those PNCs. Our Motion which was quite specific on detail as to how the RMG should market itself with a stall at the biennial PNCs was composited with SE England’s less specific instruction on the issue, was then overwhelmingly carried.</w:t>
      </w:r>
    </w:p>
    <w:p w14:paraId="40640D56" w14:textId="77777777" w:rsidR="008B2F24" w:rsidRDefault="008B2F24">
      <w:pPr>
        <w:pStyle w:val="BodyText"/>
        <w:spacing w:before="28"/>
      </w:pPr>
    </w:p>
    <w:p w14:paraId="5960836B" w14:textId="77777777" w:rsidR="008B2F24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before="1"/>
        <w:ind w:left="243" w:hanging="242"/>
      </w:pP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669E7E47" w14:textId="77777777" w:rsidR="008B2F24" w:rsidRDefault="008B2F24">
      <w:pPr>
        <w:pStyle w:val="BodyText"/>
        <w:spacing w:before="74"/>
      </w:pPr>
    </w:p>
    <w:p w14:paraId="695F64E6" w14:textId="77777777" w:rsidR="008B2F24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6" w:lineRule="auto"/>
        <w:ind w:left="721" w:right="556"/>
      </w:pPr>
      <w:r>
        <w:t>The</w:t>
      </w:r>
      <w:r>
        <w:rPr>
          <w:spacing w:val="-4"/>
        </w:rPr>
        <w:t xml:space="preserve"> </w:t>
      </w:r>
      <w:r>
        <w:t>Chairman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‘Policy</w:t>
      </w:r>
      <w:r>
        <w:rPr>
          <w:spacing w:val="-4"/>
        </w:rPr>
        <w:t xml:space="preserve"> </w:t>
      </w:r>
      <w:r>
        <w:t>2016-2025’ document of 58 pages</w:t>
      </w:r>
    </w:p>
    <w:p w14:paraId="0BAEB61B" w14:textId="1B5E2E28" w:rsidR="008B2F24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6" w:lineRule="auto"/>
        <w:ind w:left="721" w:right="277"/>
      </w:pPr>
      <w:r>
        <w:t>Asbestos</w:t>
      </w:r>
      <w:r>
        <w:rPr>
          <w:spacing w:val="-4"/>
        </w:rPr>
        <w:t xml:space="preserve"> </w:t>
      </w:r>
      <w:r>
        <w:t>Register: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 w:rsidR="002D17C0">
        <w:t>totaling</w:t>
      </w:r>
      <w:r>
        <w:rPr>
          <w:spacing w:val="-4"/>
        </w:rPr>
        <w:t xml:space="preserve"> </w:t>
      </w:r>
      <w:r>
        <w:t>£17.775M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 xml:space="preserve">been </w:t>
      </w:r>
      <w:r>
        <w:rPr>
          <w:spacing w:val="-2"/>
        </w:rPr>
        <w:t>paid.</w:t>
      </w:r>
    </w:p>
    <w:p w14:paraId="488CE886" w14:textId="77777777" w:rsidR="008B2F24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6" w:lineRule="auto"/>
        <w:ind w:left="721" w:right="338"/>
      </w:pPr>
      <w:r>
        <w:t>The next biennial PNC will be held in Brighton in June 2026 and in view of our successful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ADC,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t>delegates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‘marketing’ </w:t>
      </w:r>
      <w:r>
        <w:rPr>
          <w:spacing w:val="-2"/>
        </w:rPr>
        <w:t>stall.</w:t>
      </w:r>
    </w:p>
    <w:p w14:paraId="60C137CA" w14:textId="77777777" w:rsidR="008B2F24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50" w:lineRule="exact"/>
        <w:ind w:left="721"/>
      </w:pPr>
      <w:r>
        <w:t>‘e-</w:t>
      </w:r>
      <w:proofErr w:type="gramStart"/>
      <w:r>
        <w:t>Branches’</w:t>
      </w:r>
      <w:proofErr w:type="gramEnd"/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Branch</w:t>
      </w:r>
    </w:p>
    <w:p w14:paraId="6F863BCA" w14:textId="77777777" w:rsidR="008B2F24" w:rsidRDefault="008B2F24">
      <w:pPr>
        <w:pStyle w:val="BodyText"/>
        <w:spacing w:before="70"/>
      </w:pPr>
    </w:p>
    <w:p w14:paraId="0BB09472" w14:textId="77777777" w:rsidR="008B2F24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3" w:hanging="242"/>
      </w:pP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103B87CC" w14:textId="77777777" w:rsidR="008B2F24" w:rsidRDefault="008B2F24">
      <w:pPr>
        <w:pStyle w:val="BodyText"/>
        <w:spacing w:before="74"/>
      </w:pPr>
    </w:p>
    <w:p w14:paraId="56D5614B" w14:textId="11F1BAF3" w:rsidR="008B2F24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6" w:lineRule="auto"/>
        <w:ind w:left="721" w:right="10"/>
      </w:pPr>
      <w:r>
        <w:t xml:space="preserve">The Secretary reported that in an email exchange with our member Peter Baker, he had referred him firstly to the </w:t>
      </w:r>
      <w:r>
        <w:rPr>
          <w:rFonts w:ascii="Arial" w:hAnsi="Arial"/>
          <w:b/>
        </w:rPr>
        <w:t>Prospect Helpline 0300</w:t>
      </w:r>
      <w:r w:rsidR="002D17C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600</w:t>
      </w:r>
      <w:r w:rsidR="002D17C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1878 </w:t>
      </w:r>
      <w:r>
        <w:t>regarding Pension</w:t>
      </w:r>
      <w:r>
        <w:rPr>
          <w:spacing w:val="40"/>
        </w:rPr>
        <w:t xml:space="preserve"> </w:t>
      </w:r>
      <w:r>
        <w:t xml:space="preserve">calculation issues with </w:t>
      </w:r>
      <w:proofErr w:type="spellStart"/>
      <w:r>
        <w:rPr>
          <w:rFonts w:ascii="Arial" w:hAnsi="Arial"/>
          <w:b/>
        </w:rPr>
        <w:t>MyCSP</w:t>
      </w:r>
      <w:proofErr w:type="spellEnd"/>
      <w:r>
        <w:rPr>
          <w:rFonts w:ascii="Arial" w:hAnsi="Arial"/>
          <w:b/>
        </w:rPr>
        <w:t xml:space="preserve">. </w:t>
      </w:r>
      <w:r>
        <w:t xml:space="preserve">They had been very helpful, advising him to initially use the </w:t>
      </w:r>
      <w:proofErr w:type="spellStart"/>
      <w:r>
        <w:t>MyCSP</w:t>
      </w:r>
      <w:proofErr w:type="spellEnd"/>
      <w:r>
        <w:t xml:space="preserve"> complaints procedure, which </w:t>
      </w:r>
      <w:proofErr w:type="gramStart"/>
      <w:r>
        <w:t>failing</w:t>
      </w:r>
      <w:proofErr w:type="gramEnd"/>
      <w:r>
        <w:t xml:space="preserve"> the Pensions Ombudsman. Peter was also affected by the </w:t>
      </w:r>
      <w:r>
        <w:rPr>
          <w:rFonts w:ascii="Arial" w:hAnsi="Arial"/>
          <w:b/>
        </w:rPr>
        <w:t xml:space="preserve">McCloud Judgement </w:t>
      </w:r>
      <w:r>
        <w:t xml:space="preserve">(see below), and strongly advised members that in dealing with </w:t>
      </w:r>
      <w:proofErr w:type="spellStart"/>
      <w:r>
        <w:t>MyCSP</w:t>
      </w:r>
      <w:proofErr w:type="spellEnd"/>
      <w:r>
        <w:t>, they a) check everything and b) keep records of all transactions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CSP,</w:t>
      </w:r>
      <w:r>
        <w:rPr>
          <w:spacing w:val="-4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</w:t>
      </w:r>
      <w:r>
        <w:rPr>
          <w:spacing w:val="-4"/>
        </w:rPr>
        <w:t xml:space="preserve"> </w:t>
      </w:r>
      <w:r>
        <w:t>Helpline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advice,</w:t>
      </w:r>
      <w:r>
        <w:rPr>
          <w:spacing w:val="-4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deterred</w:t>
      </w:r>
      <w:r>
        <w:rPr>
          <w:spacing w:val="-4"/>
        </w:rPr>
        <w:t xml:space="preserve"> </w:t>
      </w:r>
      <w:r>
        <w:t>from using their Complaints Process.</w:t>
      </w:r>
    </w:p>
    <w:p w14:paraId="53025F53" w14:textId="77777777" w:rsidR="008B2F24" w:rsidRDefault="008B2F24">
      <w:pPr>
        <w:pStyle w:val="ListParagraph"/>
        <w:spacing w:line="276" w:lineRule="auto"/>
        <w:sectPr w:rsidR="008B2F24">
          <w:pgSz w:w="12240" w:h="15840"/>
          <w:pgMar w:top="1360" w:right="1440" w:bottom="280" w:left="1440" w:header="720" w:footer="720" w:gutter="0"/>
          <w:cols w:space="720"/>
        </w:sectPr>
      </w:pPr>
    </w:p>
    <w:p w14:paraId="1D0FCE45" w14:textId="77777777" w:rsidR="008B2F24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79" w:line="276" w:lineRule="auto"/>
        <w:ind w:left="721" w:right="5"/>
      </w:pPr>
      <w:r>
        <w:lastRenderedPageBreak/>
        <w:t>John W. also reported that member Daryl Nightingale within an email exchange incorporating his apologies, hoped we would also air McCloud at this meeting.</w:t>
      </w:r>
      <w:r>
        <w:rPr>
          <w:spacing w:val="40"/>
        </w:rPr>
        <w:t xml:space="preserve"> </w:t>
      </w:r>
      <w:r>
        <w:t xml:space="preserve">David </w:t>
      </w:r>
      <w:r>
        <w:rPr>
          <w:rFonts w:ascii="Arial" w:hAnsi="Arial"/>
          <w:b/>
        </w:rPr>
        <w:t>Hindley then confirmed that he was also affected by McCloud and offered to send 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copy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4"/>
        </w:rPr>
        <w:t xml:space="preserve"> </w:t>
      </w:r>
      <w:proofErr w:type="gramStart"/>
      <w:r>
        <w:rPr>
          <w:rFonts w:ascii="Arial" w:hAnsi="Arial"/>
          <w:b/>
        </w:rPr>
        <w:t>form</w:t>
      </w:r>
      <w:proofErr w:type="gramEnd"/>
      <w:r>
        <w:rPr>
          <w:rFonts w:ascii="Arial" w:hAnsi="Arial"/>
          <w:b/>
          <w:spacing w:val="-4"/>
        </w:rPr>
        <w:t xml:space="preserve"> </w:t>
      </w:r>
      <w:proofErr w:type="gramStart"/>
      <w:r>
        <w:rPr>
          <w:rFonts w:ascii="Arial" w:hAnsi="Arial"/>
          <w:b/>
        </w:rPr>
        <w:t>less</w:t>
      </w:r>
      <w:proofErr w:type="gram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personal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details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information.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(This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attached).</w:t>
      </w:r>
      <w:r>
        <w:rPr>
          <w:rFonts w:ascii="Arial" w:hAnsi="Arial"/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NC was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keen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members’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matter.</w:t>
      </w:r>
      <w:r>
        <w:rPr>
          <w:spacing w:val="-4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suggested we formulate a Motion on the matter to the 2026 RMG ADC.</w:t>
      </w:r>
    </w:p>
    <w:p w14:paraId="0268DBC0" w14:textId="77777777" w:rsidR="008B2F24" w:rsidRDefault="008B2F24">
      <w:pPr>
        <w:pStyle w:val="BodyText"/>
        <w:spacing w:before="32"/>
      </w:pPr>
    </w:p>
    <w:p w14:paraId="0BC30E73" w14:textId="77777777" w:rsidR="008B2F24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3" w:hanging="242"/>
      </w:pPr>
      <w:r>
        <w:t>Date(s)</w:t>
      </w:r>
      <w:r>
        <w:rPr>
          <w:spacing w:val="-7"/>
        </w:rPr>
        <w:t xml:space="preserve"> </w:t>
      </w:r>
      <w:proofErr w:type="gramStart"/>
      <w:r>
        <w:t>of</w:t>
      </w:r>
      <w:proofErr w:type="gramEnd"/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meetings.</w:t>
      </w:r>
      <w:r>
        <w:rPr>
          <w:spacing w:val="-4"/>
        </w:rPr>
        <w:t xml:space="preserve"> </w:t>
      </w:r>
      <w:r>
        <w:rPr>
          <w:spacing w:val="-2"/>
        </w:rPr>
        <w:t>(AGM)</w:t>
      </w:r>
    </w:p>
    <w:p w14:paraId="550E0002" w14:textId="77777777" w:rsidR="008B2F24" w:rsidRDefault="008B2F24">
      <w:pPr>
        <w:pStyle w:val="BodyText"/>
        <w:spacing w:before="74"/>
      </w:pPr>
    </w:p>
    <w:p w14:paraId="15234056" w14:textId="77777777" w:rsidR="008B2F24" w:rsidRDefault="00000000">
      <w:pPr>
        <w:pStyle w:val="BodyText"/>
        <w:spacing w:line="549" w:lineRule="auto"/>
        <w:ind w:left="1" w:right="1941"/>
      </w:pP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Boat</w:t>
      </w:r>
      <w:r>
        <w:rPr>
          <w:spacing w:val="-5"/>
        </w:rPr>
        <w:t xml:space="preserve"> </w:t>
      </w:r>
      <w:r>
        <w:t>Museum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proposed. 8-Closure of meeting</w:t>
      </w:r>
    </w:p>
    <w:p w14:paraId="0467D1DA" w14:textId="77777777" w:rsidR="008B2F24" w:rsidRDefault="00000000">
      <w:pPr>
        <w:pStyle w:val="BodyText"/>
        <w:spacing w:before="1" w:line="276" w:lineRule="auto"/>
        <w:ind w:left="1"/>
      </w:pPr>
      <w:r>
        <w:t>At</w:t>
      </w:r>
      <w:r>
        <w:rPr>
          <w:spacing w:val="-3"/>
        </w:rPr>
        <w:t xml:space="preserve"> </w:t>
      </w:r>
      <w:r>
        <w:t>2.33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thanked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wished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Museum a safe return journey.</w:t>
      </w:r>
    </w:p>
    <w:p w14:paraId="1DEA4AED" w14:textId="77777777" w:rsidR="008B2F24" w:rsidRDefault="008B2F24">
      <w:pPr>
        <w:pStyle w:val="BodyText"/>
      </w:pPr>
    </w:p>
    <w:p w14:paraId="40491873" w14:textId="77777777" w:rsidR="008B2F24" w:rsidRDefault="008B2F24">
      <w:pPr>
        <w:pStyle w:val="BodyText"/>
        <w:spacing w:before="72"/>
      </w:pPr>
    </w:p>
    <w:p w14:paraId="4F3BD003" w14:textId="77777777" w:rsidR="008B2F24" w:rsidRDefault="00000000">
      <w:pPr>
        <w:spacing w:line="276" w:lineRule="auto"/>
        <w:ind w:left="1" w:right="7335"/>
        <w:rPr>
          <w:rFonts w:ascii="Arial"/>
          <w:b/>
        </w:rPr>
      </w:pPr>
      <w:r>
        <w:rPr>
          <w:rFonts w:ascii="Arial"/>
          <w:b/>
        </w:rPr>
        <w:t>John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K.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Wright </w:t>
      </w:r>
      <w:r>
        <w:rPr>
          <w:rFonts w:ascii="Arial"/>
          <w:b/>
          <w:spacing w:val="-4"/>
        </w:rPr>
        <w:t>D316</w:t>
      </w:r>
    </w:p>
    <w:sectPr w:rsidR="008B2F24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1D55"/>
    <w:multiLevelType w:val="hybridMultilevel"/>
    <w:tmpl w:val="72A46C16"/>
    <w:lvl w:ilvl="0" w:tplc="AE32210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C1737C8"/>
    <w:multiLevelType w:val="hybridMultilevel"/>
    <w:tmpl w:val="7A86CCDE"/>
    <w:lvl w:ilvl="0" w:tplc="FFC26832">
      <w:start w:val="5"/>
      <w:numFmt w:val="decimal"/>
      <w:lvlText w:val="%1."/>
      <w:lvlJc w:val="left"/>
      <w:pPr>
        <w:ind w:left="246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274C23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FFC26BF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44CEF6A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6D26AF2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D006227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B3F2C23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1C96F0D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4F27D8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B212A8"/>
    <w:multiLevelType w:val="hybridMultilevel"/>
    <w:tmpl w:val="DD20CA4E"/>
    <w:lvl w:ilvl="0" w:tplc="BC5A5548">
      <w:start w:val="2"/>
      <w:numFmt w:val="decimal"/>
      <w:lvlText w:val="%1"/>
      <w:lvlJc w:val="left"/>
      <w:pPr>
        <w:ind w:left="185" w:hanging="1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5AB6CC">
      <w:numFmt w:val="bullet"/>
      <w:lvlText w:val="•"/>
      <w:lvlJc w:val="left"/>
      <w:pPr>
        <w:ind w:left="1098" w:hanging="184"/>
      </w:pPr>
      <w:rPr>
        <w:rFonts w:hint="default"/>
        <w:lang w:val="en-US" w:eastAsia="en-US" w:bidi="ar-SA"/>
      </w:rPr>
    </w:lvl>
    <w:lvl w:ilvl="2" w:tplc="6568CF14">
      <w:numFmt w:val="bullet"/>
      <w:lvlText w:val="•"/>
      <w:lvlJc w:val="left"/>
      <w:pPr>
        <w:ind w:left="2016" w:hanging="184"/>
      </w:pPr>
      <w:rPr>
        <w:rFonts w:hint="default"/>
        <w:lang w:val="en-US" w:eastAsia="en-US" w:bidi="ar-SA"/>
      </w:rPr>
    </w:lvl>
    <w:lvl w:ilvl="3" w:tplc="A858E8F4">
      <w:numFmt w:val="bullet"/>
      <w:lvlText w:val="•"/>
      <w:lvlJc w:val="left"/>
      <w:pPr>
        <w:ind w:left="2934" w:hanging="184"/>
      </w:pPr>
      <w:rPr>
        <w:rFonts w:hint="default"/>
        <w:lang w:val="en-US" w:eastAsia="en-US" w:bidi="ar-SA"/>
      </w:rPr>
    </w:lvl>
    <w:lvl w:ilvl="4" w:tplc="7BE477A8">
      <w:numFmt w:val="bullet"/>
      <w:lvlText w:val="•"/>
      <w:lvlJc w:val="left"/>
      <w:pPr>
        <w:ind w:left="3852" w:hanging="184"/>
      </w:pPr>
      <w:rPr>
        <w:rFonts w:hint="default"/>
        <w:lang w:val="en-US" w:eastAsia="en-US" w:bidi="ar-SA"/>
      </w:rPr>
    </w:lvl>
    <w:lvl w:ilvl="5" w:tplc="E31C2DA0">
      <w:numFmt w:val="bullet"/>
      <w:lvlText w:val="•"/>
      <w:lvlJc w:val="left"/>
      <w:pPr>
        <w:ind w:left="4770" w:hanging="184"/>
      </w:pPr>
      <w:rPr>
        <w:rFonts w:hint="default"/>
        <w:lang w:val="en-US" w:eastAsia="en-US" w:bidi="ar-SA"/>
      </w:rPr>
    </w:lvl>
    <w:lvl w:ilvl="6" w:tplc="BC0EF836">
      <w:numFmt w:val="bullet"/>
      <w:lvlText w:val="•"/>
      <w:lvlJc w:val="left"/>
      <w:pPr>
        <w:ind w:left="5688" w:hanging="184"/>
      </w:pPr>
      <w:rPr>
        <w:rFonts w:hint="default"/>
        <w:lang w:val="en-US" w:eastAsia="en-US" w:bidi="ar-SA"/>
      </w:rPr>
    </w:lvl>
    <w:lvl w:ilvl="7" w:tplc="D48A6092">
      <w:numFmt w:val="bullet"/>
      <w:lvlText w:val="•"/>
      <w:lvlJc w:val="left"/>
      <w:pPr>
        <w:ind w:left="6606" w:hanging="184"/>
      </w:pPr>
      <w:rPr>
        <w:rFonts w:hint="default"/>
        <w:lang w:val="en-US" w:eastAsia="en-US" w:bidi="ar-SA"/>
      </w:rPr>
    </w:lvl>
    <w:lvl w:ilvl="8" w:tplc="29F868C2">
      <w:numFmt w:val="bullet"/>
      <w:lvlText w:val="•"/>
      <w:lvlJc w:val="left"/>
      <w:pPr>
        <w:ind w:left="7524" w:hanging="184"/>
      </w:pPr>
      <w:rPr>
        <w:rFonts w:hint="default"/>
        <w:lang w:val="en-US" w:eastAsia="en-US" w:bidi="ar-SA"/>
      </w:rPr>
    </w:lvl>
  </w:abstractNum>
  <w:num w:numId="1" w16cid:durableId="1144347828">
    <w:abstractNumId w:val="1"/>
  </w:num>
  <w:num w:numId="2" w16cid:durableId="994458912">
    <w:abstractNumId w:val="2"/>
  </w:num>
  <w:num w:numId="3" w16cid:durableId="18783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24"/>
    <w:rsid w:val="002D17C0"/>
    <w:rsid w:val="006C5B81"/>
    <w:rsid w:val="008B2F24"/>
    <w:rsid w:val="008F7360"/>
    <w:rsid w:val="00A0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AA80"/>
  <w15:docId w15:val="{2D4A4EF5-F839-45A8-B733-84FF562E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rospect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Baines</dc:creator>
  <cp:lastModifiedBy>Mandy Baines</cp:lastModifiedBy>
  <cp:revision>3</cp:revision>
  <dcterms:created xsi:type="dcterms:W3CDTF">2025-09-09T08:32:00Z</dcterms:created>
  <dcterms:modified xsi:type="dcterms:W3CDTF">2025-09-09T08:47:00Z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2025-09-08T00:00:00Z</vt:filetime>
  </property>
</Properties>
</file>