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EA6A" w14:textId="2D213E82" w:rsidR="00E43601" w:rsidRPr="00060492" w:rsidRDefault="00E43601" w:rsidP="002D626B">
      <w:pPr>
        <w:pStyle w:val="Heading1"/>
        <w:numPr>
          <w:ilvl w:val="0"/>
          <w:numId w:val="0"/>
        </w:numPr>
      </w:pPr>
      <w:r w:rsidRPr="00060492">
        <w:t xml:space="preserve">SOC circular </w:t>
      </w:r>
      <w:r>
        <w:t>SOC2026-</w:t>
      </w:r>
      <w:r w:rsidRPr="00060492">
        <w:t>0</w:t>
      </w:r>
      <w:r>
        <w:t>2</w:t>
      </w:r>
    </w:p>
    <w:p w14:paraId="324E23EF" w14:textId="5A6CB494" w:rsidR="00E43601" w:rsidRDefault="00E43601" w:rsidP="002D626B">
      <w:pPr>
        <w:pStyle w:val="Heading2"/>
      </w:pPr>
      <w:r>
        <w:t>References Back to Conference documents</w:t>
      </w:r>
    </w:p>
    <w:p w14:paraId="7C7A3BE3" w14:textId="35440EC7" w:rsidR="00F331AB" w:rsidRPr="00F331AB" w:rsidRDefault="00F331AB" w:rsidP="00F331AB">
      <w:pPr>
        <w:rPr>
          <w:b/>
          <w:bCs/>
          <w:sz w:val="40"/>
          <w:szCs w:val="40"/>
          <w:lang w:eastAsia="en-US"/>
        </w:rPr>
      </w:pPr>
      <w:r w:rsidRPr="00F331AB">
        <w:rPr>
          <w:b/>
          <w:bCs/>
          <w:sz w:val="40"/>
          <w:szCs w:val="40"/>
          <w:lang w:eastAsia="en-US"/>
        </w:rPr>
        <w:t xml:space="preserve">Accepted Reference </w:t>
      </w:r>
      <w:r w:rsidR="005938CE">
        <w:rPr>
          <w:b/>
          <w:bCs/>
          <w:sz w:val="40"/>
          <w:szCs w:val="40"/>
          <w:lang w:eastAsia="en-US"/>
        </w:rPr>
        <w:t>B</w:t>
      </w:r>
      <w:r w:rsidRPr="00F331AB">
        <w:rPr>
          <w:b/>
          <w:bCs/>
          <w:sz w:val="40"/>
          <w:szCs w:val="40"/>
          <w:lang w:eastAsia="en-US"/>
        </w:rPr>
        <w:t xml:space="preserve">acks </w:t>
      </w:r>
    </w:p>
    <w:p w14:paraId="2EA0564F" w14:textId="77777777" w:rsidR="004B4C13" w:rsidRPr="009C627A" w:rsidRDefault="004B4C13" w:rsidP="004B4C13">
      <w:pPr>
        <w:pStyle w:val="Referencebackheading"/>
      </w:pPr>
      <w:r w:rsidRPr="009C627A">
        <w:t xml:space="preserve">Reference Back </w:t>
      </w:r>
      <w:r w:rsidRPr="00B54274">
        <w:rPr>
          <w:noProof/>
        </w:rPr>
        <w:t>8</w:t>
      </w:r>
    </w:p>
    <w:p w14:paraId="581BEBB1" w14:textId="77777777" w:rsidR="004B4C13" w:rsidRDefault="004B4C13" w:rsidP="004B4C13">
      <w:pPr>
        <w:rPr>
          <w:b/>
          <w:bCs/>
        </w:rPr>
      </w:pPr>
      <w:r w:rsidRPr="00B54274">
        <w:rPr>
          <w:b/>
          <w:bCs/>
          <w:noProof/>
        </w:rPr>
        <w:t>Accepted</w:t>
      </w:r>
    </w:p>
    <w:p w14:paraId="422DBAB8" w14:textId="77777777" w:rsidR="004B4C13" w:rsidRPr="009C627A" w:rsidRDefault="004B4C13" w:rsidP="004B4C13">
      <w:pPr>
        <w:rPr>
          <w:b/>
          <w:bCs/>
        </w:rPr>
      </w:pPr>
      <w:r w:rsidRPr="00B54274">
        <w:rPr>
          <w:b/>
          <w:bCs/>
          <w:noProof/>
        </w:rPr>
        <w:t>Action Taken</w:t>
      </w:r>
      <w:r w:rsidRPr="009C627A">
        <w:rPr>
          <w:b/>
          <w:bCs/>
        </w:rPr>
        <w:t xml:space="preserve"> </w:t>
      </w:r>
      <w:r w:rsidRPr="00B54274">
        <w:rPr>
          <w:b/>
          <w:bCs/>
          <w:noProof/>
        </w:rPr>
        <w:t>Resolution 46</w:t>
      </w:r>
    </w:p>
    <w:p w14:paraId="6F610161" w14:textId="77777777" w:rsidR="004B4C13" w:rsidRDefault="004B4C13" w:rsidP="004B4C13">
      <w:r>
        <w:rPr>
          <w:noProof/>
        </w:rPr>
        <w:t>Reference Back: Resolution 46 (Israel-Palestine Conflicts)</w:t>
      </w:r>
    </w:p>
    <w:p w14:paraId="777ECC96" w14:textId="77777777" w:rsidR="004B4C13" w:rsidRDefault="004B4C13" w:rsidP="004B4C13">
      <w:pPr>
        <w:rPr>
          <w:noProof/>
        </w:rPr>
      </w:pPr>
      <w:r>
        <w:rPr>
          <w:noProof/>
        </w:rPr>
        <w:t>The Paragraph(s) is referred back because we respectfully seek further clarification from the NEC on the progress of Resolution 46:</w:t>
      </w:r>
    </w:p>
    <w:p w14:paraId="567B9B7D" w14:textId="77777777" w:rsidR="004B4C13" w:rsidRDefault="004B4C13" w:rsidP="004B4C13">
      <w:pPr>
        <w:rPr>
          <w:noProof/>
        </w:rPr>
      </w:pPr>
      <w:r>
        <w:rPr>
          <w:noProof/>
        </w:rPr>
        <w:t xml:space="preserve">* **The FOI Request:** Could the NEC kindly clarify what information the FOI was regarding, and confirm if/when the response will be shared with members?  </w:t>
      </w:r>
    </w:p>
    <w:p w14:paraId="5F08F422" w14:textId="77777777" w:rsidR="004B4C13" w:rsidRDefault="004B4C13" w:rsidP="004B4C13">
      <w:pPr>
        <w:rPr>
          <w:noProof/>
        </w:rPr>
      </w:pPr>
      <w:r>
        <w:rPr>
          <w:noProof/>
        </w:rPr>
        <w:t xml:space="preserve">* **Boycott Policy:** We seek an update on the practical implementation of the boycott policy. As was made clear during the debate, the intent was for Prospect to commit itself to boycotting companies operating in the Occupied Palestinian Territories (similar to the union's internal travel policy regarding Ryanair), rather than solely monitoring the UN reports.  </w:t>
      </w:r>
    </w:p>
    <w:p w14:paraId="758AA180" w14:textId="77777777" w:rsidR="004B4C13" w:rsidRDefault="004B4C13" w:rsidP="004B4C13">
      <w:r>
        <w:rPr>
          <w:noProof/>
        </w:rPr>
        <w:t>* **The Burden of Proof:** We gently note that the threshold under the Strategic Export Licensing Criteria is whether there is a "clear risk" that items might be used in violations. We ask that our lobbying reflects this preventative legal standard, rather than requiring definitive proof of past use.</w:t>
      </w:r>
    </w:p>
    <w:p w14:paraId="6262B3F1" w14:textId="77777777" w:rsidR="004B4C13" w:rsidRDefault="004B4C13" w:rsidP="004B4C13">
      <w:pPr>
        <w:rPr>
          <w:i/>
          <w:iCs/>
        </w:rPr>
      </w:pPr>
      <w:r w:rsidRPr="00B54274">
        <w:rPr>
          <w:i/>
          <w:iCs/>
          <w:noProof/>
        </w:rPr>
        <w:t>Tech Workers Branch</w:t>
      </w:r>
    </w:p>
    <w:p w14:paraId="7F9E1BE8" w14:textId="77777777" w:rsidR="004B4C13" w:rsidRDefault="004B4C13" w:rsidP="004B4C13">
      <w:pPr>
        <w:rPr>
          <w:b/>
          <w:bCs/>
        </w:rPr>
      </w:pPr>
      <w:r w:rsidRPr="00CF53F7">
        <w:rPr>
          <w:b/>
          <w:bCs/>
        </w:rPr>
        <w:t>SOC Out of Order reason</w:t>
      </w:r>
      <w:r>
        <w:rPr>
          <w:b/>
          <w:bCs/>
        </w:rPr>
        <w:t>:</w:t>
      </w:r>
    </w:p>
    <w:p w14:paraId="6FA1A10B" w14:textId="77777777" w:rsidR="004B4C13" w:rsidRDefault="004B4C13" w:rsidP="004B4C13">
      <w:r>
        <w:rPr>
          <w:noProof/>
        </w:rPr>
        <w:t>We are pleased to inform you that your Reference Back has been accepted.</w:t>
      </w:r>
    </w:p>
    <w:p w14:paraId="26AC1650" w14:textId="77777777" w:rsidR="004B4C13" w:rsidRPr="009C627A" w:rsidRDefault="004B4C13" w:rsidP="004B4C13">
      <w:pPr>
        <w:pStyle w:val="Referencebackheading"/>
      </w:pPr>
      <w:r w:rsidRPr="009C627A">
        <w:t xml:space="preserve">Reference Back </w:t>
      </w:r>
      <w:r w:rsidRPr="00B54274">
        <w:rPr>
          <w:noProof/>
        </w:rPr>
        <w:t>25</w:t>
      </w:r>
    </w:p>
    <w:p w14:paraId="32E0C385" w14:textId="77777777" w:rsidR="004B4C13" w:rsidRDefault="004B4C13" w:rsidP="004B4C13">
      <w:pPr>
        <w:rPr>
          <w:b/>
          <w:bCs/>
        </w:rPr>
      </w:pPr>
      <w:r w:rsidRPr="00B54274">
        <w:rPr>
          <w:b/>
          <w:bCs/>
          <w:noProof/>
        </w:rPr>
        <w:t>Accepted</w:t>
      </w:r>
    </w:p>
    <w:p w14:paraId="73B99197"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136</w:t>
      </w:r>
    </w:p>
    <w:p w14:paraId="31134A9D" w14:textId="77777777" w:rsidR="004B4C13" w:rsidRDefault="004B4C13" w:rsidP="004B4C13">
      <w:r>
        <w:rPr>
          <w:noProof/>
        </w:rPr>
        <w:t>Reaffirming Prospect’s trade-union character and ethos</w:t>
      </w:r>
    </w:p>
    <w:p w14:paraId="4C222D25" w14:textId="77777777" w:rsidR="004B4C13" w:rsidRDefault="004B4C13" w:rsidP="004B4C13">
      <w:pPr>
        <w:rPr>
          <w:noProof/>
        </w:rPr>
      </w:pPr>
      <w:r>
        <w:rPr>
          <w:noProof/>
        </w:rPr>
        <w:t xml:space="preserve">The paragraph is referred back because... </w:t>
      </w:r>
    </w:p>
    <w:p w14:paraId="562AC28D" w14:textId="77777777" w:rsidR="004B4C13" w:rsidRDefault="004B4C13" w:rsidP="004B4C13">
      <w:pPr>
        <w:rPr>
          <w:noProof/>
        </w:rPr>
      </w:pPr>
      <w:r>
        <w:rPr>
          <w:noProof/>
        </w:rPr>
        <w:t xml:space="preserve">Rule 10.7 (1) states: “The General Secretary shall be the Union’s Chief Executive Officer and shall be responsible to National Conference when sitting and at all other times to the National Executive Committee”. </w:t>
      </w:r>
    </w:p>
    <w:p w14:paraId="41767A75" w14:textId="77777777" w:rsidR="004B4C13" w:rsidRDefault="004B4C13" w:rsidP="004B4C13">
      <w:pPr>
        <w:rPr>
          <w:noProof/>
        </w:rPr>
      </w:pPr>
      <w:r>
        <w:rPr>
          <w:noProof/>
        </w:rPr>
        <w:t>This function is implicit in all trade-union general secretaries’ responsibilities, in a limited managerial function. This proposition doesn’t negate that aspect of the General Secretary’s function under this rule but it de-emphasizes this managerial corporate role in a key public and member-facing facility, the union’s websites. Stressing this small part of a General Secretary’s role gives the impression of a commercial, corporate-style executive function, rather than the more consensual and democratic brief of a trade-union head.</w:t>
      </w:r>
    </w:p>
    <w:p w14:paraId="7944AF2B" w14:textId="77777777" w:rsidR="004B4C13" w:rsidRDefault="004B4C13" w:rsidP="004B4C13">
      <w:r>
        <w:rPr>
          <w:noProof/>
        </w:rPr>
        <w:t>If this part of Rule 10.7 (1) is so essential then the instruction to the NEC to amend the wording still gives the NEC the option of stating the whole of the sentence that comprises that rule, on those two website pages, to put the role in its proper union context, rather than over-emphasizing the smaller, executive function, over the General Secretary’s broader brief.</w:t>
      </w:r>
    </w:p>
    <w:p w14:paraId="5B010E90" w14:textId="77777777" w:rsidR="004B4C13" w:rsidRDefault="004B4C13" w:rsidP="004B4C13">
      <w:pPr>
        <w:rPr>
          <w:i/>
          <w:iCs/>
        </w:rPr>
      </w:pPr>
      <w:r w:rsidRPr="00B54274">
        <w:rPr>
          <w:i/>
          <w:iCs/>
          <w:noProof/>
        </w:rPr>
        <w:t>Writers, Producers and Directors Branch/Bectu</w:t>
      </w:r>
    </w:p>
    <w:p w14:paraId="52989396" w14:textId="77777777" w:rsidR="004B4C13" w:rsidRDefault="004B4C13" w:rsidP="004B4C13">
      <w:pPr>
        <w:rPr>
          <w:b/>
          <w:bCs/>
        </w:rPr>
      </w:pPr>
      <w:r w:rsidRPr="00CF53F7">
        <w:rPr>
          <w:b/>
          <w:bCs/>
        </w:rPr>
        <w:t>SOC Out of Order reason</w:t>
      </w:r>
      <w:r>
        <w:rPr>
          <w:b/>
          <w:bCs/>
        </w:rPr>
        <w:t>:</w:t>
      </w:r>
    </w:p>
    <w:p w14:paraId="4262C333" w14:textId="77777777" w:rsidR="004B4C13" w:rsidRDefault="004B4C13" w:rsidP="004B4C13">
      <w:pPr>
        <w:rPr>
          <w:noProof/>
        </w:rPr>
      </w:pPr>
      <w:r>
        <w:rPr>
          <w:noProof/>
        </w:rPr>
        <w:lastRenderedPageBreak/>
        <w:t xml:space="preserve">In consideration of your RB of ruled out motion 136 the SOC has accepted your point that the motion calls for an amendment and not a deletion. </w:t>
      </w:r>
    </w:p>
    <w:p w14:paraId="61E74FF8" w14:textId="77777777" w:rsidR="004B4C13" w:rsidRDefault="004B4C13" w:rsidP="004B4C13">
      <w:r>
        <w:rPr>
          <w:noProof/>
        </w:rPr>
        <w:t>Please provide details of the quorate branch or committee meeting where the reference back was agreed as currently the meeting date on the form predates the publishing of the SOC report being referenced back and therefore could not be the meeting where the reference back was agreed.</w:t>
      </w:r>
    </w:p>
    <w:p w14:paraId="0CDEF2EA" w14:textId="77777777" w:rsidR="0089336B" w:rsidRPr="009C627A" w:rsidRDefault="0089336B" w:rsidP="0089336B">
      <w:pPr>
        <w:pStyle w:val="Referencebackheading"/>
      </w:pPr>
      <w:r w:rsidRPr="009C627A">
        <w:t xml:space="preserve">Reference Back </w:t>
      </w:r>
      <w:r w:rsidRPr="00B54274">
        <w:rPr>
          <w:noProof/>
        </w:rPr>
        <w:t>21</w:t>
      </w:r>
    </w:p>
    <w:p w14:paraId="6019B30D" w14:textId="3526E86F" w:rsidR="0089336B" w:rsidRDefault="0089336B" w:rsidP="0089336B">
      <w:pPr>
        <w:rPr>
          <w:b/>
          <w:bCs/>
        </w:rPr>
      </w:pPr>
      <w:r>
        <w:rPr>
          <w:b/>
          <w:bCs/>
          <w:noProof/>
        </w:rPr>
        <w:t xml:space="preserve">Accepted </w:t>
      </w:r>
    </w:p>
    <w:p w14:paraId="54F6F4D4" w14:textId="77777777" w:rsidR="0089336B" w:rsidRPr="009C627A" w:rsidRDefault="0089336B" w:rsidP="0089336B">
      <w:pPr>
        <w:rPr>
          <w:b/>
          <w:bCs/>
        </w:rPr>
      </w:pPr>
      <w:r w:rsidRPr="00B54274">
        <w:rPr>
          <w:b/>
          <w:bCs/>
          <w:noProof/>
        </w:rPr>
        <w:t>Motion</w:t>
      </w:r>
      <w:r w:rsidRPr="009C627A">
        <w:rPr>
          <w:b/>
          <w:bCs/>
        </w:rPr>
        <w:t xml:space="preserve"> </w:t>
      </w:r>
      <w:r w:rsidRPr="00B54274">
        <w:rPr>
          <w:b/>
          <w:bCs/>
          <w:noProof/>
        </w:rPr>
        <w:t>26 &amp; 27</w:t>
      </w:r>
    </w:p>
    <w:p w14:paraId="211B5391" w14:textId="77777777" w:rsidR="0089336B" w:rsidRDefault="0089336B" w:rsidP="0089336B">
      <w:r>
        <w:rPr>
          <w:noProof/>
        </w:rPr>
        <w:t>TWO-WAY ARMS EMBARGO WITH ISRAEL &amp; END TRADE WITH COMPANIES INVOLVED IN GENOCIDE</w:t>
      </w:r>
    </w:p>
    <w:p w14:paraId="3061A064" w14:textId="77777777" w:rsidR="0089336B" w:rsidRDefault="0089336B" w:rsidP="0089336B">
      <w:r>
        <w:rPr>
          <w:noProof/>
        </w:rPr>
        <w:t>The section of the SOC report compiling motions 26 and 27 is referred back on the grounds that the instructions of these motions are similar but not identical and they warrant separate debates and votes. I understand that the SOC is pressured to keep conference within a strict timetable, but these are some of the most serious topics we will be addressing at conference and they deserve to be treated with dignity, not rushed through. I request a meeting with the SOC to discuss things further.</w:t>
      </w:r>
    </w:p>
    <w:p w14:paraId="2C52F771" w14:textId="77777777" w:rsidR="0089336B" w:rsidRDefault="0089336B" w:rsidP="0089336B">
      <w:pPr>
        <w:rPr>
          <w:i/>
          <w:iCs/>
        </w:rPr>
      </w:pPr>
      <w:r w:rsidRPr="00B54274">
        <w:rPr>
          <w:i/>
          <w:iCs/>
          <w:noProof/>
        </w:rPr>
        <w:t>Post Production &amp; Facilities</w:t>
      </w:r>
    </w:p>
    <w:p w14:paraId="05EB7F19" w14:textId="77777777" w:rsidR="0089336B" w:rsidRDefault="0089336B" w:rsidP="0089336B">
      <w:pPr>
        <w:rPr>
          <w:b/>
          <w:bCs/>
        </w:rPr>
      </w:pPr>
      <w:r w:rsidRPr="00CF53F7">
        <w:rPr>
          <w:b/>
          <w:bCs/>
        </w:rPr>
        <w:t>SOC Out of Order reason</w:t>
      </w:r>
      <w:r>
        <w:rPr>
          <w:b/>
          <w:bCs/>
        </w:rPr>
        <w:t>:</w:t>
      </w:r>
    </w:p>
    <w:p w14:paraId="36779BC7" w14:textId="77777777" w:rsidR="0089336B" w:rsidRDefault="0089336B" w:rsidP="0089336B">
      <w:pPr>
        <w:rPr>
          <w:noProof/>
        </w:rPr>
      </w:pPr>
      <w:r>
        <w:rPr>
          <w:noProof/>
        </w:rPr>
        <w:t xml:space="preserve">Motion 26 and 27 – The instructions on both motions are almost identical and therefore the most appropriate way for these motions to be debated is for them to become a composite motion. </w:t>
      </w:r>
    </w:p>
    <w:p w14:paraId="066286ED" w14:textId="352D7DFB" w:rsidR="0089336B" w:rsidRDefault="00CF3D14" w:rsidP="00A00624">
      <w:pPr>
        <w:rPr>
          <w:noProof/>
        </w:rPr>
      </w:pPr>
      <w:r>
        <w:rPr>
          <w:noProof/>
        </w:rPr>
        <w:t>After the</w:t>
      </w:r>
      <w:r w:rsidR="0089336B">
        <w:rPr>
          <w:noProof/>
        </w:rPr>
        <w:t xml:space="preserve"> appointment with the SOC </w:t>
      </w:r>
      <w:r>
        <w:rPr>
          <w:noProof/>
        </w:rPr>
        <w:t xml:space="preserve">agreed there was </w:t>
      </w:r>
      <w:r w:rsidR="00A00624">
        <w:rPr>
          <w:noProof/>
        </w:rPr>
        <w:t xml:space="preserve">a significant differnce between the motions. </w:t>
      </w:r>
    </w:p>
    <w:p w14:paraId="4105399B" w14:textId="77777777" w:rsidR="00F12E1F" w:rsidRDefault="00F12E1F" w:rsidP="0089336B">
      <w:pPr>
        <w:rPr>
          <w:noProof/>
        </w:rPr>
      </w:pPr>
    </w:p>
    <w:p w14:paraId="26642B06" w14:textId="77777777" w:rsidR="00F331AB" w:rsidRDefault="00F331AB" w:rsidP="0089336B">
      <w:pPr>
        <w:rPr>
          <w:noProof/>
        </w:rPr>
      </w:pPr>
    </w:p>
    <w:p w14:paraId="2669FA92" w14:textId="44364624" w:rsidR="00F331AB" w:rsidRPr="005938CE" w:rsidRDefault="005938CE" w:rsidP="0089336B">
      <w:pPr>
        <w:rPr>
          <w:b/>
          <w:bCs/>
          <w:noProof/>
          <w:sz w:val="40"/>
          <w:szCs w:val="40"/>
        </w:rPr>
      </w:pPr>
      <w:r w:rsidRPr="005938CE">
        <w:rPr>
          <w:b/>
          <w:bCs/>
          <w:noProof/>
          <w:sz w:val="40"/>
          <w:szCs w:val="40"/>
        </w:rPr>
        <w:t xml:space="preserve">Appealed Reference Back </w:t>
      </w:r>
    </w:p>
    <w:p w14:paraId="18919E68" w14:textId="77777777" w:rsidR="00F331AB" w:rsidRPr="009C627A" w:rsidRDefault="00F331AB" w:rsidP="00F331AB">
      <w:pPr>
        <w:pStyle w:val="Referencebackheading"/>
      </w:pPr>
      <w:r w:rsidRPr="009C627A">
        <w:t xml:space="preserve">Reference Back </w:t>
      </w:r>
      <w:r w:rsidRPr="00B54274">
        <w:rPr>
          <w:noProof/>
        </w:rPr>
        <w:t>2</w:t>
      </w:r>
    </w:p>
    <w:p w14:paraId="2576AAEA" w14:textId="77777777" w:rsidR="00F331AB" w:rsidRDefault="00F331AB" w:rsidP="00F331AB">
      <w:pPr>
        <w:rPr>
          <w:b/>
          <w:bCs/>
        </w:rPr>
      </w:pPr>
      <w:r w:rsidRPr="00B54274">
        <w:rPr>
          <w:b/>
          <w:bCs/>
          <w:noProof/>
        </w:rPr>
        <w:t>Rejected (not appealed)</w:t>
      </w:r>
    </w:p>
    <w:p w14:paraId="54879026" w14:textId="77777777" w:rsidR="00F331AB" w:rsidRPr="009C627A" w:rsidRDefault="00F331AB" w:rsidP="00F331AB">
      <w:pPr>
        <w:rPr>
          <w:b/>
          <w:bCs/>
        </w:rPr>
      </w:pPr>
      <w:r w:rsidRPr="00B54274">
        <w:rPr>
          <w:b/>
          <w:bCs/>
          <w:noProof/>
        </w:rPr>
        <w:t>Action Taken</w:t>
      </w:r>
      <w:r w:rsidRPr="009C627A">
        <w:rPr>
          <w:b/>
          <w:bCs/>
        </w:rPr>
        <w:t xml:space="preserve"> </w:t>
      </w:r>
      <w:r w:rsidRPr="00B54274">
        <w:rPr>
          <w:b/>
          <w:bCs/>
          <w:noProof/>
        </w:rPr>
        <w:t>Resolution 95</w:t>
      </w:r>
    </w:p>
    <w:p w14:paraId="6FB1E408" w14:textId="77777777" w:rsidR="00F331AB" w:rsidRDefault="00F331AB" w:rsidP="00F331AB">
      <w:r>
        <w:rPr>
          <w:noProof/>
        </w:rPr>
        <w:t>Further work required on “Strike Funds” resolution</w:t>
      </w:r>
    </w:p>
    <w:p w14:paraId="16860C22" w14:textId="77777777" w:rsidR="00F331AB" w:rsidRDefault="00F331AB" w:rsidP="00F331AB">
      <w:pPr>
        <w:rPr>
          <w:noProof/>
        </w:rPr>
      </w:pPr>
      <w:r>
        <w:rPr>
          <w:noProof/>
        </w:rPr>
        <w:t>Conference refers back to the NEC the paragraphs of the Actions Taken report relating to actions taken for Resolution 95 of the 2024 National Conference (“Strike Funds”).</w:t>
      </w:r>
    </w:p>
    <w:p w14:paraId="2F8C2654" w14:textId="77777777" w:rsidR="00F331AB" w:rsidRDefault="00F331AB" w:rsidP="00F331AB">
      <w:pPr>
        <w:rPr>
          <w:noProof/>
        </w:rPr>
      </w:pPr>
      <w:r>
        <w:rPr>
          <w:noProof/>
        </w:rPr>
        <w:t>The Paragraphs are referred back because the NEC has not taken any action to “develop a standardised procedure for branches to develop strike funds to support staff through periods without pay”, as instructed by the resolution. Additionally, the NEC has decided not to implement a national strike fund (which the motion asked them to consider doing), on the basis that the costs outweigh any benefit, but failed to provide estimates of these costs and or any indication of the potential benefits.</w:t>
      </w:r>
    </w:p>
    <w:p w14:paraId="2EA74446" w14:textId="77777777" w:rsidR="00F331AB" w:rsidRDefault="00F331AB" w:rsidP="00F331AB">
      <w:pPr>
        <w:rPr>
          <w:noProof/>
        </w:rPr>
      </w:pPr>
      <w:r>
        <w:rPr>
          <w:noProof/>
        </w:rPr>
        <w:t>Conference instructs the NEC to implement the following instructions from Resolution 95:</w:t>
      </w:r>
    </w:p>
    <w:p w14:paraId="61F31083" w14:textId="77777777" w:rsidR="00F331AB" w:rsidRDefault="00F331AB" w:rsidP="00F331AB">
      <w:pPr>
        <w:rPr>
          <w:noProof/>
        </w:rPr>
      </w:pPr>
      <w:r>
        <w:rPr>
          <w:noProof/>
        </w:rPr>
        <w:t xml:space="preserve">    • Develop a standardised procedure for branches to develop strike funds to support staff through periods without pay;</w:t>
      </w:r>
    </w:p>
    <w:p w14:paraId="44CD5EAF" w14:textId="77777777" w:rsidR="00F331AB" w:rsidRDefault="00F331AB" w:rsidP="00F331AB">
      <w:pPr>
        <w:rPr>
          <w:noProof/>
        </w:rPr>
      </w:pPr>
      <w:r>
        <w:rPr>
          <w:noProof/>
        </w:rPr>
        <w:t xml:space="preserve">    • Inform branch secretaries about these arrangements;</w:t>
      </w:r>
    </w:p>
    <w:p w14:paraId="15B64B66" w14:textId="77777777" w:rsidR="00F331AB" w:rsidRDefault="00F331AB" w:rsidP="00F331AB">
      <w:pPr>
        <w:rPr>
          <w:noProof/>
        </w:rPr>
      </w:pPr>
      <w:r>
        <w:rPr>
          <w:noProof/>
        </w:rPr>
        <w:t xml:space="preserve">    • Encourage the use of these funds through the industrial action preparatory procedures.</w:t>
      </w:r>
    </w:p>
    <w:p w14:paraId="0D774A25" w14:textId="77777777" w:rsidR="00F331AB" w:rsidRDefault="00F331AB" w:rsidP="00F331AB">
      <w:r>
        <w:rPr>
          <w:noProof/>
        </w:rPr>
        <w:t>Conference further instructs the NEC to release a detailed report of the estimated costs of implementing and administering a national strike fund and the details of what, if any, benefits they consider to derive from having such a fund.</w:t>
      </w:r>
    </w:p>
    <w:p w14:paraId="346428DC" w14:textId="77777777" w:rsidR="00F331AB" w:rsidRDefault="00F331AB" w:rsidP="00F331AB">
      <w:pPr>
        <w:rPr>
          <w:i/>
          <w:iCs/>
        </w:rPr>
      </w:pPr>
      <w:r w:rsidRPr="00B54274">
        <w:rPr>
          <w:i/>
          <w:iCs/>
          <w:noProof/>
        </w:rPr>
        <w:lastRenderedPageBreak/>
        <w:t>UKAEA Branch</w:t>
      </w:r>
    </w:p>
    <w:p w14:paraId="01805B57" w14:textId="77777777" w:rsidR="00F331AB" w:rsidRDefault="00F331AB" w:rsidP="00F331AB">
      <w:pPr>
        <w:rPr>
          <w:b/>
          <w:bCs/>
        </w:rPr>
      </w:pPr>
      <w:r w:rsidRPr="00CF53F7">
        <w:rPr>
          <w:b/>
          <w:bCs/>
        </w:rPr>
        <w:t>SOC Out of Order reason</w:t>
      </w:r>
      <w:r>
        <w:rPr>
          <w:b/>
          <w:bCs/>
        </w:rPr>
        <w:t>:</w:t>
      </w:r>
    </w:p>
    <w:p w14:paraId="343CBCCC" w14:textId="77777777" w:rsidR="00F331AB" w:rsidRDefault="00F331AB" w:rsidP="00F331AB">
      <w:pPr>
        <w:rPr>
          <w:noProof/>
        </w:rPr>
      </w:pPr>
      <w:r>
        <w:rPr>
          <w:noProof/>
        </w:rPr>
        <w:t xml:space="preserve">A reference back cannot add new business which the further instruction indicates. There is a motion on the agenda in relation to strike funds which you may wish to pursue. </w:t>
      </w:r>
    </w:p>
    <w:p w14:paraId="01F3D223" w14:textId="09E3E205" w:rsidR="004B4C13" w:rsidRPr="009C627A" w:rsidRDefault="004B4C13" w:rsidP="004B4C13">
      <w:pPr>
        <w:pStyle w:val="Referencebackheading"/>
      </w:pPr>
      <w:r w:rsidRPr="009C627A">
        <w:t xml:space="preserve">Reference Back </w:t>
      </w:r>
      <w:r w:rsidRPr="00B54274">
        <w:rPr>
          <w:noProof/>
        </w:rPr>
        <w:t>3</w:t>
      </w:r>
    </w:p>
    <w:p w14:paraId="01D1318E" w14:textId="77777777" w:rsidR="004B4C13" w:rsidRDefault="004B4C13" w:rsidP="004B4C13">
      <w:pPr>
        <w:rPr>
          <w:b/>
          <w:bCs/>
        </w:rPr>
      </w:pPr>
      <w:r w:rsidRPr="00B54274">
        <w:rPr>
          <w:b/>
          <w:bCs/>
          <w:noProof/>
        </w:rPr>
        <w:t>Rejected (appealed)</w:t>
      </w:r>
    </w:p>
    <w:p w14:paraId="5166C7D7"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132</w:t>
      </w:r>
    </w:p>
    <w:p w14:paraId="6F0D56DE" w14:textId="77777777" w:rsidR="004B4C13" w:rsidRDefault="004B4C13" w:rsidP="004B4C13">
      <w:r>
        <w:rPr>
          <w:noProof/>
        </w:rPr>
        <w:t>Readmitting Motion 132 to 2026 Conference Agenda</w:t>
      </w:r>
    </w:p>
    <w:p w14:paraId="6DCA7E0E" w14:textId="77777777" w:rsidR="004B4C13" w:rsidRDefault="004B4C13" w:rsidP="004B4C13">
      <w:pPr>
        <w:rPr>
          <w:noProof/>
        </w:rPr>
      </w:pPr>
      <w:r>
        <w:rPr>
          <w:noProof/>
        </w:rPr>
        <w:t>Conference refers back the paragraphs of the SOC report which rule Motion 132 (“Regular Updates on Carried Motions”) out of order.</w:t>
      </w:r>
    </w:p>
    <w:p w14:paraId="0C52BF39" w14:textId="77777777" w:rsidR="004B4C13" w:rsidRDefault="004B4C13" w:rsidP="004B4C13">
      <w:r>
        <w:rPr>
          <w:noProof/>
        </w:rPr>
        <w:t>The Paragraphs are referred back because Conference does not agree with the SOC that Motion 132 should be classed as a rule change. The actions called for by this motion are fully compatible with existing Prospect rules and there is no reason a rule change should be required to issue such an instruction. Therefore, the motion was not submitted in the wrong format, as claimed by the SOC.</w:t>
      </w:r>
    </w:p>
    <w:p w14:paraId="5D7EA2FB" w14:textId="77777777" w:rsidR="004B4C13" w:rsidRDefault="004B4C13" w:rsidP="004B4C13">
      <w:pPr>
        <w:rPr>
          <w:i/>
          <w:iCs/>
        </w:rPr>
      </w:pPr>
      <w:r w:rsidRPr="00B54274">
        <w:rPr>
          <w:i/>
          <w:iCs/>
          <w:noProof/>
        </w:rPr>
        <w:t>UKAEA Branch</w:t>
      </w:r>
    </w:p>
    <w:p w14:paraId="5E3F56A4" w14:textId="77777777" w:rsidR="004B4C13" w:rsidRDefault="004B4C13" w:rsidP="004B4C13">
      <w:pPr>
        <w:rPr>
          <w:b/>
          <w:bCs/>
        </w:rPr>
      </w:pPr>
      <w:r w:rsidRPr="00CF53F7">
        <w:rPr>
          <w:b/>
          <w:bCs/>
        </w:rPr>
        <w:t>SOC Out of Order reason</w:t>
      </w:r>
      <w:r>
        <w:rPr>
          <w:b/>
          <w:bCs/>
        </w:rPr>
        <w:t>:</w:t>
      </w:r>
    </w:p>
    <w:p w14:paraId="3EEBBB27" w14:textId="77777777" w:rsidR="004B4C13" w:rsidRDefault="004B4C13" w:rsidP="004B4C13">
      <w:pPr>
        <w:rPr>
          <w:noProof/>
        </w:rPr>
      </w:pPr>
      <w:r>
        <w:rPr>
          <w:noProof/>
        </w:rPr>
        <w:t xml:space="preserve">The instruction on the original motion includes mandatory deadlines which in order to apply, would require a rule change. </w:t>
      </w:r>
    </w:p>
    <w:p w14:paraId="2C03FFED" w14:textId="77777777" w:rsidR="004B4C13" w:rsidRPr="009C627A" w:rsidRDefault="004B4C13" w:rsidP="004B4C13">
      <w:pPr>
        <w:pStyle w:val="Referencebackheading"/>
      </w:pPr>
      <w:r w:rsidRPr="009C627A">
        <w:t xml:space="preserve">Reference Back </w:t>
      </w:r>
      <w:r w:rsidRPr="00B54274">
        <w:rPr>
          <w:noProof/>
        </w:rPr>
        <w:t>5</w:t>
      </w:r>
    </w:p>
    <w:p w14:paraId="307DF759" w14:textId="77777777" w:rsidR="004B4C13" w:rsidRDefault="004B4C13" w:rsidP="004B4C13">
      <w:pPr>
        <w:rPr>
          <w:b/>
          <w:bCs/>
        </w:rPr>
      </w:pPr>
      <w:r w:rsidRPr="00B54274">
        <w:rPr>
          <w:b/>
          <w:bCs/>
          <w:noProof/>
        </w:rPr>
        <w:t>Rejected (appealed)</w:t>
      </w:r>
    </w:p>
    <w:p w14:paraId="6B86D969"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118</w:t>
      </w:r>
    </w:p>
    <w:p w14:paraId="2F4F874F" w14:textId="77777777" w:rsidR="004B4C13" w:rsidRDefault="004B4C13" w:rsidP="004B4C13">
      <w:r>
        <w:rPr>
          <w:noProof/>
        </w:rPr>
        <w:t>Readmitting Motion 118 to the 2026 National Conference Agenda</w:t>
      </w:r>
    </w:p>
    <w:p w14:paraId="1906A669" w14:textId="77777777" w:rsidR="004B4C13" w:rsidRDefault="004B4C13" w:rsidP="004B4C13">
      <w:pPr>
        <w:rPr>
          <w:noProof/>
        </w:rPr>
      </w:pPr>
      <w:r>
        <w:rPr>
          <w:noProof/>
        </w:rPr>
        <w:t>The Paragraphs are referred back because Conference does not agree that the motion</w:t>
      </w:r>
    </w:p>
    <w:p w14:paraId="2F2AD347" w14:textId="77777777" w:rsidR="004B4C13" w:rsidRDefault="004B4C13" w:rsidP="004B4C13">
      <w:pPr>
        <w:rPr>
          <w:noProof/>
        </w:rPr>
      </w:pPr>
      <w:r>
        <w:rPr>
          <w:noProof/>
        </w:rPr>
        <w:t>constitutes an "incorrect instruction". The motion lays out a series of clear instructions for how the union should campaign on defending the ability of workers to work from home - an important workplace issue for many of our members. Conference believes that the instructions within the motion are sufficiently clear as to what action the union (via the NEC) should take if the motion is passed.</w:t>
      </w:r>
    </w:p>
    <w:p w14:paraId="18F80910" w14:textId="77777777" w:rsidR="004B4C13" w:rsidRDefault="004B4C13" w:rsidP="004B4C13"/>
    <w:p w14:paraId="7E805C1D" w14:textId="77777777" w:rsidR="004B4C13" w:rsidRDefault="004B4C13" w:rsidP="004B4C13">
      <w:pPr>
        <w:rPr>
          <w:i/>
          <w:iCs/>
        </w:rPr>
      </w:pPr>
      <w:r w:rsidRPr="00B54274">
        <w:rPr>
          <w:i/>
          <w:iCs/>
          <w:noProof/>
        </w:rPr>
        <w:t>Ofcom Branch</w:t>
      </w:r>
    </w:p>
    <w:p w14:paraId="1D5AB24F" w14:textId="77777777" w:rsidR="004B4C13" w:rsidRDefault="004B4C13" w:rsidP="004B4C13">
      <w:pPr>
        <w:rPr>
          <w:b/>
          <w:bCs/>
        </w:rPr>
      </w:pPr>
      <w:r w:rsidRPr="00CF53F7">
        <w:rPr>
          <w:b/>
          <w:bCs/>
        </w:rPr>
        <w:t>SOC Out of Order reason</w:t>
      </w:r>
      <w:r>
        <w:rPr>
          <w:b/>
          <w:bCs/>
        </w:rPr>
        <w:t>:</w:t>
      </w:r>
    </w:p>
    <w:p w14:paraId="3B773839" w14:textId="77777777" w:rsidR="004B4C13" w:rsidRDefault="004B4C13" w:rsidP="004B4C13">
      <w:pPr>
        <w:rPr>
          <w:noProof/>
        </w:rPr>
      </w:pPr>
      <w:r>
        <w:rPr>
          <w:noProof/>
        </w:rPr>
        <w:t>As made clear in both the guidance and submission form a motion must read Conference Instructs the NEC…</w:t>
      </w:r>
    </w:p>
    <w:p w14:paraId="67B4AD09" w14:textId="77777777" w:rsidR="004B4C13" w:rsidRDefault="004B4C13" w:rsidP="004B4C13">
      <w:pPr>
        <w:rPr>
          <w:noProof/>
        </w:rPr>
      </w:pPr>
      <w:r>
        <w:rPr>
          <w:noProof/>
        </w:rPr>
        <w:t>It is important the instruction to the NEC is clear and correct as the NEC is the only body that can action the motions from conference. This was set out in Guidance on Writing a Motion for National Conference updated November 2025 and the video ‘How Prospect’s National Conference Works’ both of which can be found on the Prospect website – https://union.prospect.org.uk/resource/how-conference-works.html</w:t>
      </w:r>
    </w:p>
    <w:p w14:paraId="6F74536D" w14:textId="77777777" w:rsidR="004B4C13" w:rsidRPr="009C627A" w:rsidRDefault="004B4C13" w:rsidP="004B4C13">
      <w:pPr>
        <w:pStyle w:val="Referencebackheading"/>
      </w:pPr>
      <w:r w:rsidRPr="009C627A">
        <w:t xml:space="preserve">Reference Back </w:t>
      </w:r>
      <w:r w:rsidRPr="00B54274">
        <w:rPr>
          <w:noProof/>
        </w:rPr>
        <w:t>9</w:t>
      </w:r>
    </w:p>
    <w:p w14:paraId="5CB1705C" w14:textId="77777777" w:rsidR="004B4C13" w:rsidRDefault="004B4C13" w:rsidP="004B4C13">
      <w:pPr>
        <w:rPr>
          <w:b/>
          <w:bCs/>
        </w:rPr>
      </w:pPr>
      <w:r w:rsidRPr="00B54274">
        <w:rPr>
          <w:b/>
          <w:bCs/>
          <w:noProof/>
        </w:rPr>
        <w:t>Rejected (appealed)</w:t>
      </w:r>
    </w:p>
    <w:p w14:paraId="1E306BB1"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130</w:t>
      </w:r>
    </w:p>
    <w:p w14:paraId="42A018DA" w14:textId="77777777" w:rsidR="004B4C13" w:rsidRDefault="004B4C13" w:rsidP="004B4C13">
      <w:r>
        <w:rPr>
          <w:noProof/>
        </w:rPr>
        <w:lastRenderedPageBreak/>
        <w:t>Readmitting Motion 130 to the 2026 Prospect National Conference Agenda</w:t>
      </w:r>
    </w:p>
    <w:p w14:paraId="12E63BD7" w14:textId="77777777" w:rsidR="004B4C13" w:rsidRDefault="004B4C13" w:rsidP="004B4C13">
      <w:r>
        <w:rPr>
          <w:noProof/>
        </w:rPr>
        <w:t>The Paragraph is referred back because we do not agree with the SOC that the instruction of would place the union at a 'very high' risk of acting unlawfully (given the legal advice that the SOC shared with the branch on our appeal); we believe that Motion 130 is crucial to stand up for our trans members against escalating attacks on their rights and dignity; and that, in general, the level of legal risk that the union is willing to take on is a matter for the membership to decide at Conference, and while legal risk may be presented to the membership to inform their decision at Conference, it should not be used to reject motions from the Conference agenda.</w:t>
      </w:r>
    </w:p>
    <w:p w14:paraId="25925603" w14:textId="77777777" w:rsidR="004B4C13" w:rsidRDefault="004B4C13" w:rsidP="004B4C13">
      <w:pPr>
        <w:rPr>
          <w:i/>
          <w:iCs/>
        </w:rPr>
      </w:pPr>
      <w:r w:rsidRPr="00B54274">
        <w:rPr>
          <w:i/>
          <w:iCs/>
          <w:noProof/>
        </w:rPr>
        <w:t>Tech Workers Branch</w:t>
      </w:r>
    </w:p>
    <w:p w14:paraId="79FA7FB0" w14:textId="77777777" w:rsidR="004B4C13" w:rsidRDefault="004B4C13" w:rsidP="004B4C13">
      <w:pPr>
        <w:rPr>
          <w:b/>
          <w:bCs/>
        </w:rPr>
      </w:pPr>
      <w:r w:rsidRPr="00CF53F7">
        <w:rPr>
          <w:b/>
          <w:bCs/>
        </w:rPr>
        <w:t>SOC Out of Order reason</w:t>
      </w:r>
      <w:r>
        <w:rPr>
          <w:b/>
          <w:bCs/>
        </w:rPr>
        <w:t>:</w:t>
      </w:r>
    </w:p>
    <w:p w14:paraId="1A017189" w14:textId="77777777" w:rsidR="004B4C13" w:rsidRDefault="004B4C13" w:rsidP="004B4C13">
      <w:pPr>
        <w:rPr>
          <w:noProof/>
        </w:rPr>
      </w:pPr>
      <w:r>
        <w:rPr>
          <w:noProof/>
        </w:rPr>
        <w:t>We cannot as a union ask an employer to be in breach of the law because the union then becomes party to it. Very recent EHRC guidance decision highlights that it would lead the union to act illegally.</w:t>
      </w:r>
    </w:p>
    <w:p w14:paraId="300EE3D6" w14:textId="77777777" w:rsidR="004B4C13" w:rsidRPr="009C627A" w:rsidRDefault="004B4C13" w:rsidP="004B4C13">
      <w:pPr>
        <w:pStyle w:val="Referencebackheading"/>
      </w:pPr>
      <w:r w:rsidRPr="009C627A">
        <w:t xml:space="preserve">Reference Back </w:t>
      </w:r>
      <w:r w:rsidRPr="00B54274">
        <w:rPr>
          <w:noProof/>
        </w:rPr>
        <w:t>11</w:t>
      </w:r>
    </w:p>
    <w:p w14:paraId="46474BA7" w14:textId="77777777" w:rsidR="004B4C13" w:rsidRDefault="004B4C13" w:rsidP="004B4C13">
      <w:pPr>
        <w:rPr>
          <w:b/>
          <w:bCs/>
        </w:rPr>
      </w:pPr>
      <w:r w:rsidRPr="00B54274">
        <w:rPr>
          <w:b/>
          <w:bCs/>
          <w:noProof/>
        </w:rPr>
        <w:t>Rejected (appealed)</w:t>
      </w:r>
    </w:p>
    <w:p w14:paraId="382E2760"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121</w:t>
      </w:r>
    </w:p>
    <w:p w14:paraId="5DA96251" w14:textId="77777777" w:rsidR="004B4C13" w:rsidRDefault="004B4C13" w:rsidP="004B4C13">
      <w:r>
        <w:rPr>
          <w:noProof/>
        </w:rPr>
        <w:t>VIDEO RECORDINGS OF PROSPECT NATIONAL CONFERENCES</w:t>
      </w:r>
    </w:p>
    <w:p w14:paraId="462DB277" w14:textId="77777777" w:rsidR="004B4C13" w:rsidRDefault="004B4C13" w:rsidP="004B4C13">
      <w:pPr>
        <w:rPr>
          <w:noProof/>
        </w:rPr>
      </w:pPr>
      <w:r>
        <w:rPr>
          <w:noProof/>
        </w:rPr>
        <w:t>The section of the SOC report rejecting motion 121 due to it being in breach of GDPR is incorrect.</w:t>
      </w:r>
    </w:p>
    <w:p w14:paraId="62244E6E" w14:textId="77777777" w:rsidR="004B4C13" w:rsidRDefault="004B4C13" w:rsidP="004B4C13">
      <w:pPr>
        <w:rPr>
          <w:noProof/>
        </w:rPr>
      </w:pPr>
      <w:r>
        <w:rPr>
          <w:noProof/>
        </w:rPr>
        <w:t>Prospect National Conference 2024 was already recorded and uploaded on YouTube in its entirety as described in the motion, and point 67 of the National Conference Standing Orders for 2026 also clearly state "Please note that photography and video recording will take place throughout National Conference. The resulting images and recordings may be used by Prospect for promotional and communication purposes, including on our website, social media channels, and other publications. By attending National Conference, you acknowledge that you may be included in such materials. If you do not wish to be photographed or recorded, please contact national conference@prospect.org.uk as a matter of urgency so that we can make appropriate arrangements."</w:t>
      </w:r>
    </w:p>
    <w:p w14:paraId="25E1AB94" w14:textId="77777777" w:rsidR="004B4C13" w:rsidRDefault="004B4C13" w:rsidP="004B4C13">
      <w:r>
        <w:rPr>
          <w:noProof/>
        </w:rPr>
        <w:t>Please allow the motion for discussion back on the agenda.</w:t>
      </w:r>
    </w:p>
    <w:p w14:paraId="5D800988" w14:textId="77777777" w:rsidR="004B4C13" w:rsidRDefault="004B4C13" w:rsidP="004B4C13">
      <w:pPr>
        <w:rPr>
          <w:i/>
          <w:iCs/>
        </w:rPr>
      </w:pPr>
      <w:r w:rsidRPr="00B54274">
        <w:rPr>
          <w:i/>
          <w:iCs/>
          <w:noProof/>
        </w:rPr>
        <w:t>Post Production &amp; Facilities</w:t>
      </w:r>
    </w:p>
    <w:p w14:paraId="13FA8C29" w14:textId="77777777" w:rsidR="004B4C13" w:rsidRDefault="004B4C13" w:rsidP="004B4C13">
      <w:pPr>
        <w:rPr>
          <w:b/>
          <w:bCs/>
        </w:rPr>
      </w:pPr>
      <w:r w:rsidRPr="00CF53F7">
        <w:rPr>
          <w:b/>
          <w:bCs/>
        </w:rPr>
        <w:t>SOC Out of Order reason</w:t>
      </w:r>
      <w:r>
        <w:rPr>
          <w:b/>
          <w:bCs/>
        </w:rPr>
        <w:t>:</w:t>
      </w:r>
    </w:p>
    <w:p w14:paraId="0DDFCE00" w14:textId="77777777" w:rsidR="004B4C13" w:rsidRDefault="004B4C13" w:rsidP="004B4C13">
      <w:pPr>
        <w:rPr>
          <w:noProof/>
        </w:rPr>
      </w:pPr>
      <w:r>
        <w:rPr>
          <w:noProof/>
        </w:rPr>
        <w:t xml:space="preserve">Motion 121 goes against received advice on GDPR. The motion calls for recordings to be uploaded to YouTube permanently. Therefore, this would be an issue with one of the principles of UK GDPR, Storage Limitation.  Personal data should not be kept for longer than is necessary for the purposes for which the personal data are processed.  </w:t>
      </w:r>
    </w:p>
    <w:p w14:paraId="2295C513" w14:textId="77777777" w:rsidR="004B4C13" w:rsidRPr="009C627A" w:rsidRDefault="004B4C13" w:rsidP="004B4C13">
      <w:pPr>
        <w:pStyle w:val="Referencebackheading"/>
      </w:pPr>
      <w:r w:rsidRPr="009C627A">
        <w:t xml:space="preserve">Reference Back </w:t>
      </w:r>
      <w:r w:rsidRPr="00B54274">
        <w:rPr>
          <w:noProof/>
        </w:rPr>
        <w:t>12</w:t>
      </w:r>
    </w:p>
    <w:p w14:paraId="66B61ECD" w14:textId="77777777" w:rsidR="004B4C13" w:rsidRDefault="004B4C13" w:rsidP="004B4C13">
      <w:pPr>
        <w:rPr>
          <w:b/>
          <w:bCs/>
        </w:rPr>
      </w:pPr>
      <w:r w:rsidRPr="00B54274">
        <w:rPr>
          <w:b/>
          <w:bCs/>
          <w:noProof/>
        </w:rPr>
        <w:t>Rejected (appealed)</w:t>
      </w:r>
    </w:p>
    <w:p w14:paraId="73C88173"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122</w:t>
      </w:r>
    </w:p>
    <w:p w14:paraId="6E1B16F4" w14:textId="77777777" w:rsidR="004B4C13" w:rsidRDefault="004B4C13" w:rsidP="004B4C13">
      <w:r>
        <w:rPr>
          <w:noProof/>
        </w:rPr>
        <w:t>PROSPECT’S AND BECTU’S WEBSITES AND MEMBERS’ PORTALS</w:t>
      </w:r>
    </w:p>
    <w:p w14:paraId="204C8A59" w14:textId="77777777" w:rsidR="004B4C13" w:rsidRDefault="004B4C13" w:rsidP="004B4C13">
      <w:r>
        <w:rPr>
          <w:noProof/>
        </w:rPr>
        <w:t>The section of the SOC report rejecting motion 122 due to Rule 10.7(1) is referred back on the grounds that the motion is not in fact in breach of Rule 10.7(1). This is because the motion instructs the NEC "To delete from the website that our General Secretary ‘acts as CEO of the union’.", while Rule 10.7(1) states ""The General Secretary shall be the Union’s Chief Executive Officer". The choice of "acts as" used on the website implies a similitude with a corporate leadership figure, and does not match the more direct phrasing used in the rulebook "shall be". The NEC can follow the instruction of the motion without breaking the rules and amend the website accordingly (https://prospect.org.uk/about/who-are-prospect/how-were-governed/).</w:t>
      </w:r>
    </w:p>
    <w:p w14:paraId="33644DFA" w14:textId="77777777" w:rsidR="004B4C13" w:rsidRDefault="004B4C13" w:rsidP="004B4C13">
      <w:pPr>
        <w:rPr>
          <w:i/>
          <w:iCs/>
        </w:rPr>
      </w:pPr>
      <w:r w:rsidRPr="00B54274">
        <w:rPr>
          <w:i/>
          <w:iCs/>
          <w:noProof/>
        </w:rPr>
        <w:t>Post Production &amp; Facilities</w:t>
      </w:r>
    </w:p>
    <w:p w14:paraId="2A103AE6" w14:textId="77777777" w:rsidR="004B4C13" w:rsidRDefault="004B4C13" w:rsidP="004B4C13">
      <w:pPr>
        <w:rPr>
          <w:b/>
          <w:bCs/>
        </w:rPr>
      </w:pPr>
      <w:r w:rsidRPr="00CF53F7">
        <w:rPr>
          <w:b/>
          <w:bCs/>
        </w:rPr>
        <w:lastRenderedPageBreak/>
        <w:t>SOC Out of Order reason</w:t>
      </w:r>
      <w:r>
        <w:rPr>
          <w:b/>
          <w:bCs/>
        </w:rPr>
        <w:t>:</w:t>
      </w:r>
    </w:p>
    <w:p w14:paraId="4BB0638B" w14:textId="77777777" w:rsidR="004B4C13" w:rsidRDefault="004B4C13" w:rsidP="004B4C13">
      <w:pPr>
        <w:rPr>
          <w:noProof/>
        </w:rPr>
      </w:pPr>
      <w:r>
        <w:rPr>
          <w:noProof/>
        </w:rPr>
        <w:t xml:space="preserve">Motion 122 we have reviewed your reference back and the SOC position stands that it contravenes rule 10.7.1 </w:t>
      </w:r>
    </w:p>
    <w:p w14:paraId="7A9BFBF4" w14:textId="77777777" w:rsidR="004B4C13" w:rsidRPr="009C627A" w:rsidRDefault="004B4C13" w:rsidP="004B4C13">
      <w:pPr>
        <w:pStyle w:val="Referencebackheading"/>
      </w:pPr>
      <w:r w:rsidRPr="009C627A">
        <w:t xml:space="preserve">Reference Back </w:t>
      </w:r>
      <w:r w:rsidRPr="00B54274">
        <w:rPr>
          <w:noProof/>
        </w:rPr>
        <w:t>14</w:t>
      </w:r>
    </w:p>
    <w:p w14:paraId="4D1DB4FA" w14:textId="77777777" w:rsidR="004B4C13" w:rsidRDefault="004B4C13" w:rsidP="004B4C13">
      <w:pPr>
        <w:rPr>
          <w:b/>
          <w:bCs/>
        </w:rPr>
      </w:pPr>
      <w:r w:rsidRPr="00B54274">
        <w:rPr>
          <w:b/>
          <w:bCs/>
          <w:noProof/>
        </w:rPr>
        <w:t>Rejected (appealed)</w:t>
      </w:r>
    </w:p>
    <w:p w14:paraId="07B4C60C"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114</w:t>
      </w:r>
    </w:p>
    <w:p w14:paraId="3D1E6B10" w14:textId="77777777" w:rsidR="004B4C13" w:rsidRDefault="004B4C13" w:rsidP="004B4C13">
      <w:r>
        <w:rPr>
          <w:noProof/>
        </w:rPr>
        <w:t>Closed NEC Minutes to be made available after 6 years</w:t>
      </w:r>
    </w:p>
    <w:p w14:paraId="52FE2133" w14:textId="77777777" w:rsidR="004B4C13" w:rsidRDefault="004B4C13" w:rsidP="004B4C13">
      <w:r>
        <w:rPr>
          <w:noProof/>
        </w:rPr>
        <w:t>The section of the SOC report rejecting motion 114 is referred back on the grounds that the branch secretary has spoken to the ICO who could not see any risk of this motion breaching GDPR legislation. The motion specifically called for redactions of disciplinary cases for reasons of privacy, the “declassification” is for documents that are six years in the past and would be likely uploaded onto the Knowledge Base. That GDPR is used as an excuse to restrict documents that would be placed behind a password protected website anyway is contrary to GDPR principle and conference is the best arena for the debate to happen.</w:t>
      </w:r>
    </w:p>
    <w:p w14:paraId="7A4C79F1" w14:textId="77777777" w:rsidR="004B4C13" w:rsidRDefault="004B4C13" w:rsidP="004B4C13">
      <w:pPr>
        <w:rPr>
          <w:i/>
          <w:iCs/>
        </w:rPr>
      </w:pPr>
      <w:r w:rsidRPr="00B54274">
        <w:rPr>
          <w:i/>
          <w:iCs/>
          <w:noProof/>
        </w:rPr>
        <w:t>North West Freelance Branch/BECTU</w:t>
      </w:r>
    </w:p>
    <w:p w14:paraId="62EEF947" w14:textId="77777777" w:rsidR="004B4C13" w:rsidRDefault="004B4C13" w:rsidP="004B4C13">
      <w:pPr>
        <w:rPr>
          <w:b/>
          <w:bCs/>
        </w:rPr>
      </w:pPr>
      <w:r w:rsidRPr="00CF53F7">
        <w:rPr>
          <w:b/>
          <w:bCs/>
        </w:rPr>
        <w:t>SOC Out of Order reason</w:t>
      </w:r>
      <w:r>
        <w:rPr>
          <w:b/>
          <w:bCs/>
        </w:rPr>
        <w:t>:</w:t>
      </w:r>
    </w:p>
    <w:p w14:paraId="04DDF3D6" w14:textId="77777777" w:rsidR="004B4C13" w:rsidRDefault="004B4C13" w:rsidP="004B4C13">
      <w:pPr>
        <w:rPr>
          <w:noProof/>
        </w:rPr>
      </w:pPr>
      <w:r>
        <w:rPr>
          <w:noProof/>
        </w:rPr>
        <w:t xml:space="preserve">The motion calls for the minutes of closed NEC sessions to be circulated and these sessions discuss highly sensitive personal data of both staff and members which may go above and beyond disciplinary cases. </w:t>
      </w:r>
    </w:p>
    <w:p w14:paraId="197E4653" w14:textId="77777777" w:rsidR="004B4C13" w:rsidRPr="009C627A" w:rsidRDefault="004B4C13" w:rsidP="004B4C13">
      <w:pPr>
        <w:pStyle w:val="Referencebackheading"/>
      </w:pPr>
      <w:r w:rsidRPr="009C627A">
        <w:t xml:space="preserve">Reference Back </w:t>
      </w:r>
      <w:r w:rsidRPr="00B54274">
        <w:rPr>
          <w:noProof/>
        </w:rPr>
        <w:t>15</w:t>
      </w:r>
    </w:p>
    <w:p w14:paraId="1C5C8C03" w14:textId="77777777" w:rsidR="004B4C13" w:rsidRDefault="004B4C13" w:rsidP="004B4C13">
      <w:pPr>
        <w:rPr>
          <w:b/>
          <w:bCs/>
        </w:rPr>
      </w:pPr>
      <w:r w:rsidRPr="00B54274">
        <w:rPr>
          <w:b/>
          <w:bCs/>
          <w:noProof/>
        </w:rPr>
        <w:t>Rejected (appealed)</w:t>
      </w:r>
    </w:p>
    <w:p w14:paraId="257408DD"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115</w:t>
      </w:r>
    </w:p>
    <w:p w14:paraId="6F84BB7B" w14:textId="77777777" w:rsidR="004B4C13" w:rsidRDefault="004B4C13" w:rsidP="004B4C13">
      <w:r>
        <w:rPr>
          <w:noProof/>
        </w:rPr>
        <w:t>Quarterly update on progress of Prospect conference motions</w:t>
      </w:r>
    </w:p>
    <w:p w14:paraId="52195C89" w14:textId="77777777" w:rsidR="004B4C13" w:rsidRDefault="004B4C13" w:rsidP="004B4C13">
      <w:pPr>
        <w:rPr>
          <w:noProof/>
        </w:rPr>
      </w:pPr>
      <w:r>
        <w:rPr>
          <w:noProof/>
        </w:rPr>
        <w:t>The section of the SOC report rejecting motion 115 is referred back on the grounds that it is not in breach of Rule 8.25 which sets the foundation for doing the bare minimum, this branch motion is asking for this to happen more often. The branch would like to remind the SOC that motions can work alongside a rule. Rejecting this shows a lack of transparency and puts members and branches in a unsatisfactory position of only learning about the progress of theirs motion every two years.</w:t>
      </w:r>
    </w:p>
    <w:p w14:paraId="407C48F1" w14:textId="5FED44AD" w:rsidR="004B4C13" w:rsidRDefault="004B4C13" w:rsidP="004B4C13">
      <w:pPr>
        <w:rPr>
          <w:noProof/>
        </w:rPr>
      </w:pPr>
      <w:r>
        <w:rPr>
          <w:noProof/>
        </w:rPr>
        <w:t>Setting new parameters is a legitimate aim of conference. If all rules were set in stone there would be no need of conference – directly contravening the aims of a democratic trade union. We ask that the motion be allowed to be debated at conference.</w:t>
      </w:r>
    </w:p>
    <w:p w14:paraId="7B072F45" w14:textId="77777777" w:rsidR="004B4C13" w:rsidRDefault="004B4C13" w:rsidP="004B4C13">
      <w:pPr>
        <w:rPr>
          <w:i/>
          <w:iCs/>
        </w:rPr>
      </w:pPr>
      <w:r w:rsidRPr="00B54274">
        <w:rPr>
          <w:i/>
          <w:iCs/>
          <w:noProof/>
        </w:rPr>
        <w:t>North West Freelance Branch/BECTU</w:t>
      </w:r>
    </w:p>
    <w:p w14:paraId="5DAD7595" w14:textId="77777777" w:rsidR="004B4C13" w:rsidRDefault="004B4C13" w:rsidP="004B4C13">
      <w:pPr>
        <w:rPr>
          <w:b/>
          <w:bCs/>
        </w:rPr>
      </w:pPr>
      <w:r w:rsidRPr="00CF53F7">
        <w:rPr>
          <w:b/>
          <w:bCs/>
        </w:rPr>
        <w:t>SOC Out of Order reason</w:t>
      </w:r>
      <w:r>
        <w:rPr>
          <w:b/>
          <w:bCs/>
        </w:rPr>
        <w:t>:</w:t>
      </w:r>
    </w:p>
    <w:p w14:paraId="6284B75C" w14:textId="77777777" w:rsidR="004B4C13" w:rsidRDefault="004B4C13" w:rsidP="004B4C13">
      <w:pPr>
        <w:rPr>
          <w:noProof/>
        </w:rPr>
      </w:pPr>
      <w:r>
        <w:rPr>
          <w:noProof/>
        </w:rPr>
        <w:t>The instruction includes mandatory deadlines which in order to apply, would need a rule change.</w:t>
      </w:r>
    </w:p>
    <w:p w14:paraId="47055959" w14:textId="77777777" w:rsidR="004B4C13" w:rsidRPr="009C627A" w:rsidRDefault="004B4C13" w:rsidP="004B4C13">
      <w:pPr>
        <w:pStyle w:val="Referencebackheading"/>
      </w:pPr>
      <w:r w:rsidRPr="009C627A">
        <w:t xml:space="preserve">Reference Back </w:t>
      </w:r>
      <w:r w:rsidRPr="00B54274">
        <w:rPr>
          <w:noProof/>
        </w:rPr>
        <w:t>16</w:t>
      </w:r>
    </w:p>
    <w:p w14:paraId="33417D28" w14:textId="77777777" w:rsidR="004B4C13" w:rsidRDefault="004B4C13" w:rsidP="004B4C13">
      <w:pPr>
        <w:rPr>
          <w:b/>
          <w:bCs/>
        </w:rPr>
      </w:pPr>
      <w:r w:rsidRPr="00B54274">
        <w:rPr>
          <w:b/>
          <w:bCs/>
          <w:noProof/>
        </w:rPr>
        <w:t>Rejected (appealed)</w:t>
      </w:r>
    </w:p>
    <w:p w14:paraId="726B287E"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116</w:t>
      </w:r>
    </w:p>
    <w:p w14:paraId="13FD561F" w14:textId="77777777" w:rsidR="004B4C13" w:rsidRDefault="004B4C13" w:rsidP="004B4C13">
      <w:r>
        <w:rPr>
          <w:noProof/>
        </w:rPr>
        <w:t>Distribution of NEC minutes to all branch secretaries</w:t>
      </w:r>
    </w:p>
    <w:p w14:paraId="78DDAFE9" w14:textId="77777777" w:rsidR="004B4C13" w:rsidRDefault="004B4C13" w:rsidP="004B4C13">
      <w:pPr>
        <w:rPr>
          <w:noProof/>
        </w:rPr>
      </w:pPr>
      <w:r>
        <w:rPr>
          <w:noProof/>
        </w:rPr>
        <w:t>The section of the SOC report rejecting motion 116 is referred back on the grounds that previously the NEC minutes have been delayed being uploaded onto Knowledge base. We note that BECTU SEC minutes are distributed to all BECTU branch secretaries and there has been no GDPR issue ever raised there.</w:t>
      </w:r>
    </w:p>
    <w:p w14:paraId="6BB276E0" w14:textId="77777777" w:rsidR="004B4C13" w:rsidRDefault="004B4C13" w:rsidP="004B4C13">
      <w:pPr>
        <w:rPr>
          <w:noProof/>
        </w:rPr>
      </w:pPr>
      <w:r>
        <w:rPr>
          <w:noProof/>
        </w:rPr>
        <w:lastRenderedPageBreak/>
        <w:t>From Prospect Rules:</w:t>
      </w:r>
    </w:p>
    <w:p w14:paraId="38876BAF" w14:textId="77777777" w:rsidR="004B4C13" w:rsidRDefault="004B4C13" w:rsidP="004B4C13">
      <w:pPr>
        <w:rPr>
          <w:noProof/>
        </w:rPr>
      </w:pPr>
      <w:r>
        <w:rPr>
          <w:noProof/>
        </w:rPr>
        <w:t xml:space="preserve"> Part 9: National Executive Committee</w:t>
      </w:r>
      <w:r>
        <w:rPr>
          <w:noProof/>
        </w:rPr>
        <w:tab/>
      </w:r>
    </w:p>
    <w:p w14:paraId="3E3AD93D" w14:textId="77777777" w:rsidR="004B4C13" w:rsidRDefault="004B4C13" w:rsidP="004B4C13">
      <w:pPr>
        <w:rPr>
          <w:noProof/>
        </w:rPr>
      </w:pPr>
      <w:r>
        <w:rPr>
          <w:noProof/>
        </w:rPr>
        <w:t>Functions of the committee</w:t>
      </w:r>
    </w:p>
    <w:p w14:paraId="72ACC9A1" w14:textId="77777777" w:rsidR="004B4C13" w:rsidRDefault="004B4C13" w:rsidP="004B4C13">
      <w:pPr>
        <w:rPr>
          <w:noProof/>
        </w:rPr>
      </w:pPr>
      <w:r>
        <w:rPr>
          <w:noProof/>
        </w:rPr>
        <w:t>9.1</w:t>
      </w:r>
      <w:r>
        <w:rPr>
          <w:noProof/>
        </w:rPr>
        <w:tab/>
        <w:t>(1)</w:t>
      </w:r>
      <w:r>
        <w:rPr>
          <w:noProof/>
        </w:rPr>
        <w:tab/>
        <w:t>There shall be a National Executive Committee (in this Part referred to as “the Committee”) elected in the manner hereinafter provided and which shall conduct the business of the Union in conformity with the policy from time to time laid down by National Conference and shall have such other functions as are provided by these Rules.</w:t>
      </w:r>
    </w:p>
    <w:p w14:paraId="69C028D6" w14:textId="77777777" w:rsidR="004B4C13" w:rsidRDefault="004B4C13" w:rsidP="004B4C13">
      <w:pPr>
        <w:rPr>
          <w:noProof/>
        </w:rPr>
      </w:pPr>
      <w:r>
        <w:rPr>
          <w:noProof/>
        </w:rPr>
        <w:t>(2)</w:t>
      </w:r>
      <w:r>
        <w:rPr>
          <w:noProof/>
        </w:rPr>
        <w:tab/>
        <w:t>The Committee shall between National Conferences be solely responsible for interpreting policy laid down by Conference and determining policy if no such policy exists. The Committee shall also be responsible for the interpretation of these Rules between National Conferences.</w:t>
      </w:r>
    </w:p>
    <w:p w14:paraId="0BEB839F" w14:textId="77777777" w:rsidR="004B4C13" w:rsidRDefault="004B4C13" w:rsidP="004B4C13">
      <w:pPr>
        <w:rPr>
          <w:noProof/>
        </w:rPr>
      </w:pPr>
      <w:r>
        <w:rPr>
          <w:noProof/>
        </w:rPr>
        <w:t>(3)</w:t>
      </w:r>
      <w:r>
        <w:rPr>
          <w:noProof/>
        </w:rPr>
        <w:tab/>
        <w:t>The Committee shall manage and transact all matters and business arising in the affairs of the Union between meetings of National Conference</w:t>
      </w:r>
    </w:p>
    <w:p w14:paraId="65251120" w14:textId="77777777" w:rsidR="004B4C13" w:rsidRDefault="004B4C13" w:rsidP="004B4C13">
      <w:pPr>
        <w:rPr>
          <w:noProof/>
        </w:rPr>
      </w:pPr>
      <w:r>
        <w:rPr>
          <w:noProof/>
        </w:rPr>
        <w:t>Not withstanding that the Prospect biennial conference is the supreme body tasked with proposing, discussing and agreeing new rules and policy;  The refusal of the motion re the Distribution of minutes, prevents Conference holding the NEC to Account and that the policies set by Conference are carried out as set by conference. Additionally branch secretary has contacted the ICO who also have said there is no GDPR legislation being breached here.</w:t>
      </w:r>
    </w:p>
    <w:p w14:paraId="5A0ED276" w14:textId="77777777" w:rsidR="004B4C13" w:rsidRDefault="004B4C13" w:rsidP="004B4C13">
      <w:pPr>
        <w:rPr>
          <w:noProof/>
        </w:rPr>
      </w:pPr>
      <w:r>
        <w:rPr>
          <w:noProof/>
        </w:rPr>
        <w:t>That GDPR fears have been previously cited by the SOC when it comes to the rejection of proposition 114, which involved documents being provided behind a password protected website, but then here it’s cited to prevent distribution to branch committee officers. GDPR is not there for blocking information from members but to protect their personal data.</w:t>
      </w:r>
    </w:p>
    <w:p w14:paraId="05ACF0E8" w14:textId="77777777" w:rsidR="004B4C13" w:rsidRDefault="004B4C13" w:rsidP="004B4C13"/>
    <w:p w14:paraId="56A2A74E" w14:textId="77777777" w:rsidR="004B4C13" w:rsidRDefault="004B4C13" w:rsidP="004B4C13">
      <w:pPr>
        <w:rPr>
          <w:i/>
          <w:iCs/>
        </w:rPr>
      </w:pPr>
      <w:r w:rsidRPr="00B54274">
        <w:rPr>
          <w:i/>
          <w:iCs/>
          <w:noProof/>
        </w:rPr>
        <w:t>North West Freelance Branch/BECTU</w:t>
      </w:r>
    </w:p>
    <w:p w14:paraId="38F94FED" w14:textId="77777777" w:rsidR="004B4C13" w:rsidRDefault="004B4C13" w:rsidP="004B4C13">
      <w:pPr>
        <w:rPr>
          <w:b/>
          <w:bCs/>
        </w:rPr>
      </w:pPr>
      <w:r w:rsidRPr="00CF53F7">
        <w:rPr>
          <w:b/>
          <w:bCs/>
        </w:rPr>
        <w:t>SOC Out of Order reason</w:t>
      </w:r>
      <w:r>
        <w:rPr>
          <w:b/>
          <w:bCs/>
        </w:rPr>
        <w:t>:</w:t>
      </w:r>
    </w:p>
    <w:p w14:paraId="4F7C02D9" w14:textId="77777777" w:rsidR="004B4C13" w:rsidRDefault="004B4C13" w:rsidP="004B4C13">
      <w:pPr>
        <w:rPr>
          <w:noProof/>
        </w:rPr>
      </w:pPr>
      <w:r>
        <w:rPr>
          <w:noProof/>
        </w:rPr>
        <w:t>The motion calls for the minutes and minutes of NEC proceedings of closed NEC sessions and these sessions discuss highly sensitive personal data of both staff and members which may go above and beyond sensitive disciplinary cases.</w:t>
      </w:r>
    </w:p>
    <w:p w14:paraId="2E1945DE" w14:textId="77777777" w:rsidR="004B4C13" w:rsidRPr="009C627A" w:rsidRDefault="004B4C13" w:rsidP="004B4C13">
      <w:pPr>
        <w:pStyle w:val="Referencebackheading"/>
      </w:pPr>
      <w:r w:rsidRPr="009C627A">
        <w:t xml:space="preserve">Reference Back </w:t>
      </w:r>
      <w:r w:rsidRPr="00B54274">
        <w:rPr>
          <w:noProof/>
        </w:rPr>
        <w:t>17</w:t>
      </w:r>
    </w:p>
    <w:p w14:paraId="1A9A2A2C" w14:textId="77777777" w:rsidR="004B4C13" w:rsidRDefault="004B4C13" w:rsidP="004B4C13">
      <w:pPr>
        <w:rPr>
          <w:b/>
          <w:bCs/>
        </w:rPr>
      </w:pPr>
      <w:r w:rsidRPr="00B54274">
        <w:rPr>
          <w:b/>
          <w:bCs/>
          <w:noProof/>
        </w:rPr>
        <w:t>Rejected (appealed)</w:t>
      </w:r>
    </w:p>
    <w:p w14:paraId="27508944"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117</w:t>
      </w:r>
    </w:p>
    <w:p w14:paraId="57AEC0C8" w14:textId="1F85788B" w:rsidR="004B4C13" w:rsidRDefault="00054E14" w:rsidP="004B4C13">
      <w:r>
        <w:rPr>
          <w:noProof/>
        </w:rPr>
        <w:t>Rules Revision – Code Conduct for General Secretary</w:t>
      </w:r>
      <w:r w:rsidR="00B574AB">
        <w:rPr>
          <w:noProof/>
        </w:rPr>
        <w:t xml:space="preserve"> Election</w:t>
      </w:r>
    </w:p>
    <w:p w14:paraId="662692A5" w14:textId="77777777" w:rsidR="004B4C13" w:rsidRDefault="004B4C13" w:rsidP="004B4C13">
      <w:pPr>
        <w:rPr>
          <w:noProof/>
        </w:rPr>
      </w:pPr>
      <w:r>
        <w:rPr>
          <w:noProof/>
        </w:rPr>
        <w:t>The section of the SOC report rejecting Rules Revision proposition 117 is referred back on the grounds that the SOC rejection of this motion goes against the spirit of the code of conduct that says the following:</w:t>
      </w:r>
    </w:p>
    <w:p w14:paraId="70D4A38C" w14:textId="77777777" w:rsidR="004B4C13" w:rsidRDefault="004B4C13" w:rsidP="004B4C13">
      <w:pPr>
        <w:rPr>
          <w:noProof/>
        </w:rPr>
      </w:pPr>
      <w:r>
        <w:rPr>
          <w:noProof/>
        </w:rPr>
        <w:t>This Code of Conduct is designed to ensure fairness and equality of opportunity between one candidate and another and applies in the event of a contested election.</w:t>
      </w:r>
    </w:p>
    <w:p w14:paraId="2893295F" w14:textId="77777777" w:rsidR="004B4C13" w:rsidRDefault="004B4C13" w:rsidP="004B4C13">
      <w:pPr>
        <w:rPr>
          <w:noProof/>
        </w:rPr>
      </w:pPr>
      <w:r>
        <w:rPr>
          <w:noProof/>
        </w:rPr>
        <w:t>We wish to point out the following.</w:t>
      </w:r>
    </w:p>
    <w:p w14:paraId="30A6F090" w14:textId="77777777" w:rsidR="004B4C13" w:rsidRDefault="004B4C13" w:rsidP="004B4C13">
      <w:pPr>
        <w:rPr>
          <w:noProof/>
        </w:rPr>
      </w:pPr>
      <w:r>
        <w:rPr>
          <w:noProof/>
        </w:rPr>
        <w:t>•</w:t>
      </w:r>
      <w:r>
        <w:rPr>
          <w:noProof/>
        </w:rPr>
        <w:tab/>
        <w:t>On 2nd Feb 2026 the GS sent an email where he talked about the GS election (see attached email).</w:t>
      </w:r>
    </w:p>
    <w:p w14:paraId="0F678FFE" w14:textId="77777777" w:rsidR="004B4C13" w:rsidRDefault="004B4C13" w:rsidP="004B4C13">
      <w:pPr>
        <w:rPr>
          <w:noProof/>
        </w:rPr>
      </w:pPr>
      <w:r>
        <w:rPr>
          <w:noProof/>
        </w:rPr>
        <w:t>•</w:t>
      </w:r>
      <w:r>
        <w:rPr>
          <w:noProof/>
        </w:rPr>
        <w:tab/>
        <w:t>This was sent out on union comms and was interpreted by reps that he intended to stand again for the GS.</w:t>
      </w:r>
    </w:p>
    <w:p w14:paraId="130BC849" w14:textId="77777777" w:rsidR="004B4C13" w:rsidRDefault="004B4C13" w:rsidP="004B4C13">
      <w:pPr>
        <w:rPr>
          <w:noProof/>
        </w:rPr>
      </w:pPr>
      <w:r>
        <w:rPr>
          <w:noProof/>
        </w:rPr>
        <w:t>•</w:t>
      </w:r>
      <w:r>
        <w:rPr>
          <w:noProof/>
        </w:rPr>
        <w:tab/>
        <w:t>Reps who have raised with officials their concerns over this speech were told by officers that the current GS has the right to use union resources to campaign and this email suggests this is already happening.</w:t>
      </w:r>
    </w:p>
    <w:p w14:paraId="460F5729" w14:textId="77777777" w:rsidR="004B4C13" w:rsidRDefault="004B4C13" w:rsidP="004B4C13">
      <w:pPr>
        <w:rPr>
          <w:noProof/>
        </w:rPr>
      </w:pPr>
      <w:r>
        <w:rPr>
          <w:noProof/>
        </w:rPr>
        <w:t xml:space="preserve">This deletion is to rectify that and to ensure that any incoming candidate is able to effectively campaign should any choose to do so. They do not breach code of conduct paragraph 1 but reinforce it by making sure all candidates can campaign on an equal footing, not just the </w:t>
      </w:r>
      <w:r>
        <w:rPr>
          <w:noProof/>
        </w:rPr>
        <w:lastRenderedPageBreak/>
        <w:t>incumbent. The branch is concerned by the SOC interpretation and ask that this rule change be allowed to be debated at conference.</w:t>
      </w:r>
    </w:p>
    <w:p w14:paraId="558F940A" w14:textId="77777777" w:rsidR="004B4C13" w:rsidRDefault="004B4C13" w:rsidP="004B4C13"/>
    <w:p w14:paraId="002F1CCD" w14:textId="77777777" w:rsidR="004B4C13" w:rsidRDefault="004B4C13" w:rsidP="004B4C13">
      <w:pPr>
        <w:rPr>
          <w:i/>
          <w:iCs/>
        </w:rPr>
      </w:pPr>
      <w:r w:rsidRPr="00B54274">
        <w:rPr>
          <w:i/>
          <w:iCs/>
          <w:noProof/>
        </w:rPr>
        <w:t>North West Freelance Branch/BECTU</w:t>
      </w:r>
    </w:p>
    <w:p w14:paraId="2A709DCB" w14:textId="77777777" w:rsidR="004B4C13" w:rsidRDefault="004B4C13" w:rsidP="004B4C13">
      <w:pPr>
        <w:rPr>
          <w:b/>
          <w:bCs/>
        </w:rPr>
      </w:pPr>
      <w:r w:rsidRPr="00CF53F7">
        <w:rPr>
          <w:b/>
          <w:bCs/>
        </w:rPr>
        <w:t>SOC Out of Order reason</w:t>
      </w:r>
      <w:r>
        <w:rPr>
          <w:b/>
          <w:bCs/>
        </w:rPr>
        <w:t>:</w:t>
      </w:r>
    </w:p>
    <w:p w14:paraId="3D624CDD" w14:textId="77777777" w:rsidR="004B4C13" w:rsidRDefault="004B4C13" w:rsidP="004B4C13">
      <w:pPr>
        <w:rPr>
          <w:noProof/>
        </w:rPr>
      </w:pPr>
      <w:r>
        <w:rPr>
          <w:noProof/>
        </w:rPr>
        <w:t>The SOC understands the aim of this motion, however, deleting the text would create a situation whereby a wealthy candidate could spend a great deal of money which could disadvantage a less wealthy candidate. This goes against fairness and equality.</w:t>
      </w:r>
    </w:p>
    <w:p w14:paraId="45C76255" w14:textId="77777777" w:rsidR="004B4C13" w:rsidRPr="009C627A" w:rsidRDefault="004B4C13" w:rsidP="004B4C13">
      <w:pPr>
        <w:pStyle w:val="Referencebackheading"/>
      </w:pPr>
      <w:r w:rsidRPr="009C627A">
        <w:t xml:space="preserve">Reference Back </w:t>
      </w:r>
      <w:r w:rsidRPr="00B54274">
        <w:rPr>
          <w:noProof/>
        </w:rPr>
        <w:t>18</w:t>
      </w:r>
    </w:p>
    <w:p w14:paraId="0D142B07" w14:textId="77777777" w:rsidR="004B4C13" w:rsidRDefault="004B4C13" w:rsidP="004B4C13">
      <w:pPr>
        <w:rPr>
          <w:b/>
          <w:bCs/>
        </w:rPr>
      </w:pPr>
      <w:r w:rsidRPr="00B54274">
        <w:rPr>
          <w:b/>
          <w:bCs/>
          <w:noProof/>
        </w:rPr>
        <w:t>Rejected (appealed)</w:t>
      </w:r>
    </w:p>
    <w:p w14:paraId="59C35E58"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104</w:t>
      </w:r>
    </w:p>
    <w:p w14:paraId="370735A7" w14:textId="77777777" w:rsidR="004B4C13" w:rsidRDefault="004B4C13" w:rsidP="004B4C13">
      <w:pPr>
        <w:rPr>
          <w:noProof/>
        </w:rPr>
      </w:pPr>
      <w:r>
        <w:rPr>
          <w:noProof/>
        </w:rPr>
        <w:t>Allow General Secretary candidates to hold a public</w:t>
      </w:r>
    </w:p>
    <w:p w14:paraId="2AA21FC9" w14:textId="77777777" w:rsidR="004B4C13" w:rsidRDefault="004B4C13" w:rsidP="004B4C13">
      <w:r>
        <w:rPr>
          <w:noProof/>
        </w:rPr>
        <w:t>online meeting to support their election</w:t>
      </w:r>
    </w:p>
    <w:p w14:paraId="28AA2CE0" w14:textId="77777777" w:rsidR="004B4C13" w:rsidRDefault="004B4C13" w:rsidP="004B4C13">
      <w:pPr>
        <w:rPr>
          <w:noProof/>
        </w:rPr>
      </w:pPr>
      <w:r>
        <w:rPr>
          <w:noProof/>
        </w:rPr>
        <w:t xml:space="preserve">The Paragraph of motion 104 (SOC report, Appendix 2, motions out of order) "and the organisation of an online meeting open to all members and organised by the union where each candidate can present their statement and members can ask questions in a specific Q&amp;A section of the meeting. The meeting will be recorded, available on the website and advertised on the union social media" is referred back because it is not self contradictory as it suggests that the online meeting will be treated AS the circulation of the authorised candidates’ statements. It suggests that the exception to the “no campaigning rule” will be extended to an online meeting. It doesn’t suggest that funds (financial sums set aside for specific purposes) and other resources (something that is other than the already existing resources of the union) would be used. The motion suggests that an online meeting will be organised by the union, with tools (Teams, prospect email system) and resources (officials) that are already paid for by the members. </w:t>
      </w:r>
    </w:p>
    <w:p w14:paraId="23885276" w14:textId="77777777" w:rsidR="004B4C13" w:rsidRDefault="004B4C13" w:rsidP="004B4C13">
      <w:r>
        <w:rPr>
          <w:noProof/>
        </w:rPr>
        <w:t>When originally submitted through the conference portal, the paragraph aforementioned was in bold and underlined to highlight the words that the branch requested to be added to the already existing text of point 7 of the code of conduct. The formatting was not captured by the system and this probably created confusion about what the branch actually wanted to add and what the motion was trying to achieve.</w:t>
      </w:r>
    </w:p>
    <w:p w14:paraId="3FD03E7A" w14:textId="77777777" w:rsidR="004B4C13" w:rsidRDefault="004B4C13" w:rsidP="004B4C13">
      <w:pPr>
        <w:rPr>
          <w:i/>
          <w:iCs/>
        </w:rPr>
      </w:pPr>
      <w:r w:rsidRPr="00B54274">
        <w:rPr>
          <w:i/>
          <w:iCs/>
          <w:noProof/>
        </w:rPr>
        <w:t>London Live Events Network</w:t>
      </w:r>
    </w:p>
    <w:p w14:paraId="32F99E58" w14:textId="77777777" w:rsidR="004B4C13" w:rsidRDefault="004B4C13" w:rsidP="004B4C13">
      <w:pPr>
        <w:rPr>
          <w:b/>
          <w:bCs/>
        </w:rPr>
      </w:pPr>
      <w:r w:rsidRPr="00CF53F7">
        <w:rPr>
          <w:b/>
          <w:bCs/>
        </w:rPr>
        <w:t>SOC Out of Order reason</w:t>
      </w:r>
      <w:r>
        <w:rPr>
          <w:b/>
          <w:bCs/>
        </w:rPr>
        <w:t>:</w:t>
      </w:r>
    </w:p>
    <w:p w14:paraId="2D3C6F82" w14:textId="77777777" w:rsidR="004B4C13" w:rsidRDefault="004B4C13" w:rsidP="004B4C13">
      <w:pPr>
        <w:rPr>
          <w:noProof/>
        </w:rPr>
      </w:pPr>
      <w:r>
        <w:rPr>
          <w:noProof/>
        </w:rPr>
        <w:t xml:space="preserve">Rule change motions must be exact and specific, due to how this is punctuated the last sentence stands alone rather than referring to the previous sentence. Sadly, the SOC cannot infer the meaning of a rule change motion. </w:t>
      </w:r>
    </w:p>
    <w:p w14:paraId="362B81D7" w14:textId="77777777" w:rsidR="004B4C13" w:rsidRPr="009C627A" w:rsidRDefault="004B4C13" w:rsidP="004B4C13">
      <w:pPr>
        <w:pStyle w:val="Referencebackheading"/>
      </w:pPr>
      <w:r w:rsidRPr="009C627A">
        <w:t xml:space="preserve">Reference Back </w:t>
      </w:r>
      <w:r w:rsidRPr="00B54274">
        <w:rPr>
          <w:noProof/>
        </w:rPr>
        <w:t>6</w:t>
      </w:r>
    </w:p>
    <w:p w14:paraId="3E20E1D6" w14:textId="77777777" w:rsidR="004B4C13" w:rsidRDefault="004B4C13" w:rsidP="004B4C13">
      <w:pPr>
        <w:rPr>
          <w:b/>
          <w:bCs/>
        </w:rPr>
      </w:pPr>
      <w:r w:rsidRPr="00B54274">
        <w:rPr>
          <w:b/>
          <w:bCs/>
          <w:noProof/>
        </w:rPr>
        <w:t>Rejected (appealed)</w:t>
      </w:r>
    </w:p>
    <w:p w14:paraId="0E849939"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142</w:t>
      </w:r>
    </w:p>
    <w:p w14:paraId="0FF6E851" w14:textId="77777777" w:rsidR="004B4C13" w:rsidRDefault="004B4C13" w:rsidP="004B4C13">
      <w:pPr>
        <w:rPr>
          <w:noProof/>
        </w:rPr>
      </w:pPr>
      <w:r>
        <w:rPr>
          <w:noProof/>
        </w:rPr>
        <w:t>The section of the SOC report rejecting this motion 142 is referred back on the grounds that the instruction is clear. The instruction is that the NEC is to commission an external agency to review the operation of the NEC.</w:t>
      </w:r>
    </w:p>
    <w:p w14:paraId="0E3B1F48" w14:textId="77777777" w:rsidR="004B4C13" w:rsidRDefault="004B4C13" w:rsidP="004B4C13">
      <w:r>
        <w:rPr>
          <w:noProof/>
        </w:rPr>
        <w:t>They rejected as "incorrect ins</w:t>
      </w:r>
    </w:p>
    <w:p w14:paraId="0D2BB4F2" w14:textId="77777777" w:rsidR="004B4C13" w:rsidRDefault="004B4C13" w:rsidP="004B4C13">
      <w:r>
        <w:rPr>
          <w:noProof/>
        </w:rPr>
        <w:t>The paragraph(s) are referred back because the instruction is clear -the NEC is to commission an external agency to review the operation of the NEC.</w:t>
      </w:r>
    </w:p>
    <w:p w14:paraId="60C96CB2" w14:textId="77777777" w:rsidR="004B4C13" w:rsidRDefault="004B4C13" w:rsidP="004B4C13">
      <w:pPr>
        <w:rPr>
          <w:i/>
          <w:iCs/>
        </w:rPr>
      </w:pPr>
      <w:r w:rsidRPr="00B54274">
        <w:rPr>
          <w:i/>
          <w:iCs/>
          <w:noProof/>
        </w:rPr>
        <w:t>wPD</w:t>
      </w:r>
    </w:p>
    <w:p w14:paraId="2A5BDF21" w14:textId="77777777" w:rsidR="004B4C13" w:rsidRDefault="004B4C13" w:rsidP="004B4C13">
      <w:pPr>
        <w:rPr>
          <w:b/>
          <w:bCs/>
        </w:rPr>
      </w:pPr>
      <w:r w:rsidRPr="00CF53F7">
        <w:rPr>
          <w:b/>
          <w:bCs/>
        </w:rPr>
        <w:t>SOC Out of Order reason</w:t>
      </w:r>
      <w:r>
        <w:rPr>
          <w:b/>
          <w:bCs/>
        </w:rPr>
        <w:t>:</w:t>
      </w:r>
    </w:p>
    <w:p w14:paraId="218BAF23" w14:textId="77777777" w:rsidR="004B4C13" w:rsidRDefault="004B4C13" w:rsidP="004B4C13">
      <w:pPr>
        <w:rPr>
          <w:noProof/>
        </w:rPr>
      </w:pPr>
      <w:r>
        <w:rPr>
          <w:noProof/>
        </w:rPr>
        <w:lastRenderedPageBreak/>
        <w:t>As made clear in both the guidance and submission form a motion must read Conference Instructs the NEC…</w:t>
      </w:r>
    </w:p>
    <w:p w14:paraId="06CA8365" w14:textId="77777777" w:rsidR="004B4C13" w:rsidRDefault="004B4C13" w:rsidP="004B4C13">
      <w:pPr>
        <w:rPr>
          <w:noProof/>
        </w:rPr>
      </w:pPr>
      <w:r>
        <w:rPr>
          <w:noProof/>
        </w:rPr>
        <w:t>It is important the instruction to the NEC is clear and correct as the NEC is the only body that can action the motions from conference. This was set out in Guidance on Writing a Motion for National Conference updated November 2025 and the video ‘How Prospect’s National Conference Works’ both of which can be found on the Prospect Prospect – https://union.prospect.org.uk/resource/how-conference-works.html</w:t>
      </w:r>
    </w:p>
    <w:p w14:paraId="2D215FF9" w14:textId="77777777" w:rsidR="004B4C13" w:rsidRPr="009C627A" w:rsidRDefault="004B4C13" w:rsidP="004B4C13">
      <w:pPr>
        <w:pStyle w:val="Referencebackheading"/>
      </w:pPr>
      <w:r w:rsidRPr="009C627A">
        <w:t xml:space="preserve">Reference Back </w:t>
      </w:r>
      <w:r w:rsidRPr="00B54274">
        <w:rPr>
          <w:noProof/>
        </w:rPr>
        <w:t>7</w:t>
      </w:r>
    </w:p>
    <w:p w14:paraId="746B98B0" w14:textId="77777777" w:rsidR="004B4C13" w:rsidRDefault="004B4C13" w:rsidP="004B4C13">
      <w:pPr>
        <w:rPr>
          <w:b/>
          <w:bCs/>
        </w:rPr>
      </w:pPr>
      <w:r w:rsidRPr="00B54274">
        <w:rPr>
          <w:b/>
          <w:bCs/>
          <w:noProof/>
        </w:rPr>
        <w:t>Rejected (appealed)</w:t>
      </w:r>
    </w:p>
    <w:p w14:paraId="5ECD91D8"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143</w:t>
      </w:r>
    </w:p>
    <w:p w14:paraId="0F60F9B1" w14:textId="77777777" w:rsidR="004B4C13" w:rsidRDefault="004B4C13" w:rsidP="004B4C13">
      <w:r>
        <w:rPr>
          <w:noProof/>
        </w:rPr>
        <w:t>The section of the SOC report rejecting motion 143 is referred back on the grounds that the instruction is clear. The instruction is that the NEC supplies to Conference the cost figures in question.</w:t>
      </w:r>
    </w:p>
    <w:p w14:paraId="1657B633" w14:textId="77777777" w:rsidR="004B4C13" w:rsidRDefault="004B4C13" w:rsidP="004B4C13">
      <w:r>
        <w:rPr>
          <w:noProof/>
        </w:rPr>
        <w:t>The parafraph(s are referred back on the grounds that the instruction is clear. The instruction is that the NEC supplies Conference the cost figures in question.</w:t>
      </w:r>
    </w:p>
    <w:p w14:paraId="3DF56D29" w14:textId="77777777" w:rsidR="004B4C13" w:rsidRDefault="004B4C13" w:rsidP="004B4C13">
      <w:pPr>
        <w:rPr>
          <w:i/>
          <w:iCs/>
        </w:rPr>
      </w:pPr>
      <w:r w:rsidRPr="00B54274">
        <w:rPr>
          <w:i/>
          <w:iCs/>
          <w:noProof/>
        </w:rPr>
        <w:t>WPD</w:t>
      </w:r>
    </w:p>
    <w:p w14:paraId="0B69A54D" w14:textId="77777777" w:rsidR="004B4C13" w:rsidRDefault="004B4C13" w:rsidP="004B4C13">
      <w:pPr>
        <w:rPr>
          <w:b/>
          <w:bCs/>
        </w:rPr>
      </w:pPr>
      <w:r w:rsidRPr="00CF53F7">
        <w:rPr>
          <w:b/>
          <w:bCs/>
        </w:rPr>
        <w:t>SOC Out of Order reason</w:t>
      </w:r>
      <w:r>
        <w:rPr>
          <w:b/>
          <w:bCs/>
        </w:rPr>
        <w:t>:</w:t>
      </w:r>
    </w:p>
    <w:p w14:paraId="6EF7218F" w14:textId="77777777" w:rsidR="004B4C13" w:rsidRDefault="004B4C13" w:rsidP="004B4C13">
      <w:pPr>
        <w:rPr>
          <w:noProof/>
        </w:rPr>
      </w:pPr>
      <w:r>
        <w:rPr>
          <w:noProof/>
        </w:rPr>
        <w:t>As made clear in both the guidance and submission form a motion must read Conference Instructs the NEC…</w:t>
      </w:r>
    </w:p>
    <w:p w14:paraId="19CF59B2" w14:textId="77777777" w:rsidR="004B4C13" w:rsidRDefault="004B4C13" w:rsidP="004B4C13">
      <w:pPr>
        <w:rPr>
          <w:noProof/>
        </w:rPr>
      </w:pPr>
      <w:r>
        <w:rPr>
          <w:noProof/>
        </w:rPr>
        <w:t>It is important the instruction to the NEC is clear and correct as the NEC is the only body that can action the motions from conference. This was set out in Guidance on Writing a Motion for National Conference updated November 2025 and the video ‘How Prospect’s National Conference Works’ both of which can be found on the Prospect – https://union.prospect.org.uk/resource/how-conference-works.html</w:t>
      </w:r>
    </w:p>
    <w:p w14:paraId="12D3D8B7" w14:textId="77777777" w:rsidR="004B4C13" w:rsidRPr="009C627A" w:rsidRDefault="004B4C13" w:rsidP="004B4C13">
      <w:pPr>
        <w:pStyle w:val="Referencebackheading"/>
      </w:pPr>
      <w:r w:rsidRPr="009C627A">
        <w:t xml:space="preserve">Reference Back </w:t>
      </w:r>
      <w:r w:rsidRPr="00B54274">
        <w:rPr>
          <w:noProof/>
        </w:rPr>
        <w:t>10</w:t>
      </w:r>
    </w:p>
    <w:p w14:paraId="642D9FE6" w14:textId="77777777" w:rsidR="004B4C13" w:rsidRDefault="004B4C13" w:rsidP="004B4C13">
      <w:pPr>
        <w:rPr>
          <w:b/>
          <w:bCs/>
        </w:rPr>
      </w:pPr>
      <w:r w:rsidRPr="00B54274">
        <w:rPr>
          <w:b/>
          <w:bCs/>
          <w:noProof/>
        </w:rPr>
        <w:t>Rejected (appealed)</w:t>
      </w:r>
    </w:p>
    <w:p w14:paraId="455C15F8"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144 &amp; 145</w:t>
      </w:r>
    </w:p>
    <w:p w14:paraId="78C395A5" w14:textId="77777777" w:rsidR="004B4C13" w:rsidRDefault="004B4C13" w:rsidP="004B4C13">
      <w:pPr>
        <w:rPr>
          <w:noProof/>
        </w:rPr>
      </w:pPr>
      <w:r>
        <w:rPr>
          <w:noProof/>
        </w:rPr>
        <w:t xml:space="preserve">Establishing of a Working-Class Committee </w:t>
      </w:r>
    </w:p>
    <w:p w14:paraId="0250D0E2" w14:textId="77777777" w:rsidR="004B4C13" w:rsidRDefault="004B4C13" w:rsidP="004B4C13">
      <w:pPr>
        <w:rPr>
          <w:noProof/>
        </w:rPr>
      </w:pPr>
      <w:r>
        <w:rPr>
          <w:noProof/>
        </w:rPr>
        <w:t>Establishing of a ‘Combat Ageism’ Committee</w:t>
      </w:r>
    </w:p>
    <w:p w14:paraId="716A1DFA" w14:textId="77777777" w:rsidR="004B4C13" w:rsidRDefault="004B4C13" w:rsidP="004B4C13"/>
    <w:p w14:paraId="0F0D02A7" w14:textId="77777777" w:rsidR="004B4C13" w:rsidRDefault="004B4C13" w:rsidP="004B4C13">
      <w:pPr>
        <w:rPr>
          <w:noProof/>
        </w:rPr>
      </w:pPr>
      <w:r>
        <w:rPr>
          <w:noProof/>
        </w:rPr>
        <w:t xml:space="preserve">I referenced back this because this is so important to set up a working-class committee to make working-class a protected characteristic and to ensure equality for working-class people; I ask this to be set this up on a sector-by-sector basis. “Working-Class” needs to be protected under the Equality Act. </w:t>
      </w:r>
    </w:p>
    <w:p w14:paraId="012B6A68" w14:textId="77777777" w:rsidR="004B4C13" w:rsidRDefault="004B4C13" w:rsidP="004B4C13">
      <w:r>
        <w:rPr>
          <w:noProof/>
        </w:rPr>
        <w:t>This has been referenced back because I want to support the UK Campaign to combat ageism by the setting up of a committee/working group within PROSPECT to promote interaction between the different generations’ employment workforce for all ages. Ageism remains a common issue within UK workplaces and is leaving some older workers locked out of the hiring process, recruitment experts have warned.</w:t>
      </w:r>
    </w:p>
    <w:p w14:paraId="799DD1EC" w14:textId="77777777" w:rsidR="004B4C13" w:rsidRDefault="004B4C13" w:rsidP="004B4C13">
      <w:pPr>
        <w:rPr>
          <w:i/>
          <w:iCs/>
        </w:rPr>
      </w:pPr>
      <w:r w:rsidRPr="00B54274">
        <w:rPr>
          <w:i/>
          <w:iCs/>
          <w:noProof/>
        </w:rPr>
        <w:t>Writers, Directors and Producers</w:t>
      </w:r>
    </w:p>
    <w:p w14:paraId="368B4924" w14:textId="77777777" w:rsidR="004B4C13" w:rsidRDefault="004B4C13" w:rsidP="004B4C13">
      <w:pPr>
        <w:rPr>
          <w:b/>
          <w:bCs/>
        </w:rPr>
      </w:pPr>
      <w:r w:rsidRPr="00CF53F7">
        <w:rPr>
          <w:b/>
          <w:bCs/>
        </w:rPr>
        <w:t>SOC Out of Order reason</w:t>
      </w:r>
      <w:r>
        <w:rPr>
          <w:b/>
          <w:bCs/>
        </w:rPr>
        <w:t>:</w:t>
      </w:r>
    </w:p>
    <w:p w14:paraId="1881B994" w14:textId="77777777" w:rsidR="004B4C13" w:rsidRDefault="004B4C13" w:rsidP="004B4C13">
      <w:pPr>
        <w:rPr>
          <w:noProof/>
        </w:rPr>
      </w:pPr>
      <w:r>
        <w:rPr>
          <w:noProof/>
        </w:rPr>
        <w:t>As made clear in both the guidance and submission form a motion must read Conference Instructs the NEC…</w:t>
      </w:r>
    </w:p>
    <w:p w14:paraId="43B931E4" w14:textId="77777777" w:rsidR="004B4C13" w:rsidRDefault="004B4C13" w:rsidP="004B4C13">
      <w:pPr>
        <w:rPr>
          <w:noProof/>
        </w:rPr>
      </w:pPr>
      <w:r>
        <w:rPr>
          <w:noProof/>
        </w:rPr>
        <w:t xml:space="preserve">It is important the instruction to the NEC is clear and correct as the NEC is the only body that can action the motions from conference. This was set out in Guidance on Writing a Motion for National Conference updated November 2025 and the video ‘How Prospect’s National </w:t>
      </w:r>
      <w:r>
        <w:rPr>
          <w:noProof/>
        </w:rPr>
        <w:lastRenderedPageBreak/>
        <w:t>Conference Works’ both of which can be found on the Prospect – https://union.prospect.org.uk/resource/how-conference-works.html</w:t>
      </w:r>
    </w:p>
    <w:p w14:paraId="4044B5A2" w14:textId="77777777" w:rsidR="004B4C13" w:rsidRPr="009C627A" w:rsidRDefault="004B4C13" w:rsidP="004B4C13">
      <w:pPr>
        <w:pStyle w:val="Referencebackheading"/>
      </w:pPr>
      <w:r w:rsidRPr="009C627A">
        <w:t xml:space="preserve">Reference Back </w:t>
      </w:r>
      <w:r w:rsidRPr="00B54274">
        <w:rPr>
          <w:noProof/>
        </w:rPr>
        <w:t>23</w:t>
      </w:r>
    </w:p>
    <w:p w14:paraId="26F8D87A" w14:textId="77777777" w:rsidR="004B4C13" w:rsidRDefault="004B4C13" w:rsidP="004B4C13">
      <w:pPr>
        <w:rPr>
          <w:b/>
          <w:bCs/>
        </w:rPr>
      </w:pPr>
      <w:r w:rsidRPr="00B54274">
        <w:rPr>
          <w:b/>
          <w:bCs/>
          <w:noProof/>
        </w:rPr>
        <w:t>Rejected (appealed)</w:t>
      </w:r>
    </w:p>
    <w:p w14:paraId="339584E1"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135</w:t>
      </w:r>
    </w:p>
    <w:p w14:paraId="0A178D4C" w14:textId="77777777" w:rsidR="004B4C13" w:rsidRDefault="004B4C13" w:rsidP="004B4C13">
      <w:r>
        <w:rPr>
          <w:noProof/>
        </w:rPr>
        <w:t>Election Campaigns</w:t>
      </w:r>
    </w:p>
    <w:p w14:paraId="4494631E" w14:textId="77777777" w:rsidR="004B4C13" w:rsidRDefault="004B4C13" w:rsidP="004B4C13">
      <w:pPr>
        <w:rPr>
          <w:noProof/>
        </w:rPr>
      </w:pPr>
      <w:r>
        <w:rPr>
          <w:noProof/>
        </w:rPr>
        <w:t>The paragraph is referred back because the reason for the appeal being</w:t>
      </w:r>
    </w:p>
    <w:p w14:paraId="0BAB4CD2" w14:textId="77777777" w:rsidR="004B4C13" w:rsidRDefault="004B4C13" w:rsidP="004B4C13">
      <w:pPr>
        <w:rPr>
          <w:noProof/>
        </w:rPr>
      </w:pPr>
      <w:r>
        <w:rPr>
          <w:noProof/>
        </w:rPr>
        <w:t>dismissed – "The code of conduct mentioned is not listed in the Rule Book" is</w:t>
      </w:r>
    </w:p>
    <w:p w14:paraId="45AEBC60" w14:textId="77777777" w:rsidR="004B4C13" w:rsidRDefault="004B4C13" w:rsidP="004B4C13">
      <w:r>
        <w:rPr>
          <w:noProof/>
        </w:rPr>
        <w:t>incorrect.</w:t>
      </w:r>
    </w:p>
    <w:p w14:paraId="5B7D8F88" w14:textId="77777777" w:rsidR="004B4C13" w:rsidRDefault="004B4C13" w:rsidP="004B4C13">
      <w:pPr>
        <w:rPr>
          <w:i/>
          <w:iCs/>
        </w:rPr>
      </w:pPr>
      <w:r w:rsidRPr="00B54274">
        <w:rPr>
          <w:i/>
          <w:iCs/>
          <w:noProof/>
        </w:rPr>
        <w:t>Writers, Producers and Directors Branch/Bectu</w:t>
      </w:r>
    </w:p>
    <w:p w14:paraId="7AF83A61" w14:textId="77777777" w:rsidR="004B4C13" w:rsidRDefault="004B4C13" w:rsidP="004B4C13">
      <w:pPr>
        <w:rPr>
          <w:b/>
          <w:bCs/>
        </w:rPr>
      </w:pPr>
      <w:r w:rsidRPr="00CF53F7">
        <w:rPr>
          <w:b/>
          <w:bCs/>
        </w:rPr>
        <w:t>SOC Out of Order reason</w:t>
      </w:r>
      <w:r>
        <w:rPr>
          <w:b/>
          <w:bCs/>
        </w:rPr>
        <w:t>:</w:t>
      </w:r>
    </w:p>
    <w:p w14:paraId="1FE4A39C" w14:textId="77777777" w:rsidR="004B4C13" w:rsidRDefault="004B4C13" w:rsidP="004B4C13">
      <w:pPr>
        <w:rPr>
          <w:noProof/>
        </w:rPr>
      </w:pPr>
      <w:r>
        <w:rPr>
          <w:noProof/>
        </w:rPr>
        <w:t>There are 2 codes of conduct, one for the NEC and one for the General Secretary. The SOC cannot infer the meaning of a rule change.</w:t>
      </w:r>
    </w:p>
    <w:p w14:paraId="495F1BAE" w14:textId="77777777" w:rsidR="004B4C13" w:rsidRPr="009C627A" w:rsidRDefault="004B4C13" w:rsidP="004B4C13">
      <w:pPr>
        <w:pStyle w:val="Referencebackheading"/>
      </w:pPr>
      <w:r w:rsidRPr="009C627A">
        <w:t xml:space="preserve">Reference Back </w:t>
      </w:r>
      <w:r w:rsidRPr="00B54274">
        <w:rPr>
          <w:noProof/>
        </w:rPr>
        <w:t>26</w:t>
      </w:r>
    </w:p>
    <w:p w14:paraId="60B5B2E8" w14:textId="77777777" w:rsidR="004B4C13" w:rsidRDefault="004B4C13" w:rsidP="004B4C13">
      <w:pPr>
        <w:rPr>
          <w:b/>
          <w:bCs/>
        </w:rPr>
      </w:pPr>
      <w:r w:rsidRPr="00B54274">
        <w:rPr>
          <w:b/>
          <w:bCs/>
          <w:noProof/>
        </w:rPr>
        <w:t>Rejected (appealed)</w:t>
      </w:r>
    </w:p>
    <w:p w14:paraId="359D602C"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137</w:t>
      </w:r>
    </w:p>
    <w:p w14:paraId="717F556B" w14:textId="77777777" w:rsidR="004B4C13" w:rsidRDefault="004B4C13" w:rsidP="004B4C13">
      <w:r>
        <w:rPr>
          <w:noProof/>
        </w:rPr>
        <w:t>Allowing the Election of Sector Heads</w:t>
      </w:r>
    </w:p>
    <w:p w14:paraId="3CFCD71E" w14:textId="77777777" w:rsidR="004B4C13" w:rsidRDefault="004B4C13" w:rsidP="004B4C13">
      <w:pPr>
        <w:rPr>
          <w:noProof/>
        </w:rPr>
      </w:pPr>
      <w:r>
        <w:rPr>
          <w:noProof/>
        </w:rPr>
        <w:t>The paragraph is referred back because...</w:t>
      </w:r>
    </w:p>
    <w:p w14:paraId="4AD56D71" w14:textId="77777777" w:rsidR="004B4C13" w:rsidRDefault="004B4C13" w:rsidP="004B4C13">
      <w:pPr>
        <w:rPr>
          <w:noProof/>
        </w:rPr>
      </w:pPr>
      <w:r>
        <w:rPr>
          <w:noProof/>
        </w:rPr>
        <w:t xml:space="preserve">There is no rule 10.7.F in the 2024 Prospect Rule Book. </w:t>
      </w:r>
    </w:p>
    <w:p w14:paraId="78D47631" w14:textId="77777777" w:rsidR="004B4C13" w:rsidRDefault="004B4C13" w:rsidP="004B4C13">
      <w:pPr>
        <w:rPr>
          <w:noProof/>
        </w:rPr>
      </w:pPr>
      <w:r>
        <w:rPr>
          <w:noProof/>
        </w:rPr>
        <w:t>There is however, rule 10.7 (2) (f) The General Secretary’s duties shall include:</w:t>
      </w:r>
    </w:p>
    <w:p w14:paraId="09C73675" w14:textId="77777777" w:rsidR="004B4C13" w:rsidRDefault="004B4C13" w:rsidP="004B4C13">
      <w:pPr>
        <w:rPr>
          <w:noProof/>
        </w:rPr>
      </w:pPr>
      <w:r>
        <w:rPr>
          <w:noProof/>
        </w:rPr>
        <w:t>… “managing all offices and staff of the Union, and being responsible to the NEC and conference for finance.”</w:t>
      </w:r>
    </w:p>
    <w:p w14:paraId="3A80D556" w14:textId="77777777" w:rsidR="004B4C13" w:rsidRDefault="004B4C13" w:rsidP="004B4C13">
      <w:pPr>
        <w:rPr>
          <w:noProof/>
        </w:rPr>
      </w:pPr>
      <w:r>
        <w:rPr>
          <w:noProof/>
        </w:rPr>
        <w:t xml:space="preserve">This proposition (we assume, not a rule-change) does not conflict with 10.7 (2) (f), nor can it conflict with a non-existent rule 10.7.F </w:t>
      </w:r>
    </w:p>
    <w:p w14:paraId="7B850BDF" w14:textId="77777777" w:rsidR="004B4C13" w:rsidRDefault="004B4C13" w:rsidP="004B4C13">
      <w:pPr>
        <w:rPr>
          <w:noProof/>
        </w:rPr>
      </w:pPr>
      <w:r>
        <w:rPr>
          <w:noProof/>
        </w:rPr>
        <w:t>The General Secretary would still be responsible for “managing all offices and staff of the Union”, whether sector heads were elected or not.</w:t>
      </w:r>
    </w:p>
    <w:p w14:paraId="3A255CBA" w14:textId="77777777" w:rsidR="004B4C13" w:rsidRDefault="004B4C13" w:rsidP="004B4C13">
      <w:pPr>
        <w:rPr>
          <w:noProof/>
        </w:rPr>
      </w:pPr>
      <w:r>
        <w:rPr>
          <w:noProof/>
        </w:rPr>
        <w:t>The Prospect website describes Deputy General Secretary Philippa Childs as the Head of Bectu, in its senior management team, so at least one exists, thus:</w:t>
      </w:r>
    </w:p>
    <w:p w14:paraId="46632901" w14:textId="77777777" w:rsidR="004B4C13" w:rsidRDefault="004B4C13" w:rsidP="004B4C13">
      <w:pPr>
        <w:rPr>
          <w:noProof/>
        </w:rPr>
      </w:pPr>
      <w:r>
        <w:rPr>
          <w:noProof/>
        </w:rPr>
        <w:t>https://bectu.org.uk/about/senior-management-team/</w:t>
      </w:r>
    </w:p>
    <w:p w14:paraId="6528F89B" w14:textId="77777777" w:rsidR="004B4C13" w:rsidRDefault="004B4C13" w:rsidP="004B4C13">
      <w:pPr>
        <w:rPr>
          <w:noProof/>
        </w:rPr>
      </w:pPr>
      <w:r>
        <w:rPr>
          <w:noProof/>
        </w:rPr>
        <w:t>“Senior Management Team</w:t>
      </w:r>
    </w:p>
    <w:p w14:paraId="6FD64C11" w14:textId="77777777" w:rsidR="004B4C13" w:rsidRDefault="004B4C13" w:rsidP="004B4C13">
      <w:pPr>
        <w:rPr>
          <w:noProof/>
        </w:rPr>
      </w:pPr>
      <w:r>
        <w:rPr>
          <w:noProof/>
        </w:rPr>
        <w:t>Led by general secretary Mike Clancy, our senior management team manages the day to day running of the union, including finance, resources, organisational development, research, legal and communications.</w:t>
      </w:r>
    </w:p>
    <w:p w14:paraId="0B310863" w14:textId="77777777" w:rsidR="004B4C13" w:rsidRDefault="004B4C13" w:rsidP="004B4C13">
      <w:pPr>
        <w:rPr>
          <w:noProof/>
        </w:rPr>
      </w:pPr>
      <w:r>
        <w:rPr>
          <w:noProof/>
        </w:rPr>
        <w:t xml:space="preserve"> Who’s who</w:t>
      </w:r>
    </w:p>
    <w:p w14:paraId="731B7A21" w14:textId="77777777" w:rsidR="004B4C13" w:rsidRDefault="004B4C13" w:rsidP="004B4C13">
      <w:pPr>
        <w:rPr>
          <w:noProof/>
        </w:rPr>
      </w:pPr>
      <w:r>
        <w:rPr>
          <w:noProof/>
        </w:rPr>
        <w:t>Mike Clancy</w:t>
      </w:r>
    </w:p>
    <w:p w14:paraId="00293EBA" w14:textId="77777777" w:rsidR="004B4C13" w:rsidRDefault="004B4C13" w:rsidP="004B4C13">
      <w:pPr>
        <w:rPr>
          <w:noProof/>
        </w:rPr>
      </w:pPr>
      <w:r>
        <w:rPr>
          <w:noProof/>
        </w:rPr>
        <w:t>General secretary</w:t>
      </w:r>
    </w:p>
    <w:p w14:paraId="49580710" w14:textId="77777777" w:rsidR="004B4C13" w:rsidRDefault="004B4C13" w:rsidP="004B4C13">
      <w:pPr>
        <w:rPr>
          <w:noProof/>
        </w:rPr>
      </w:pPr>
      <w:r>
        <w:rPr>
          <w:noProof/>
        </w:rPr>
        <w:t xml:space="preserve"> Sue Ferns OBE</w:t>
      </w:r>
    </w:p>
    <w:p w14:paraId="5113D212" w14:textId="77777777" w:rsidR="004B4C13" w:rsidRDefault="004B4C13" w:rsidP="004B4C13">
      <w:pPr>
        <w:rPr>
          <w:noProof/>
        </w:rPr>
      </w:pPr>
      <w:r>
        <w:rPr>
          <w:noProof/>
        </w:rPr>
        <w:t>Senior deputy general secretary</w:t>
      </w:r>
    </w:p>
    <w:p w14:paraId="006EDBED" w14:textId="77777777" w:rsidR="004B4C13" w:rsidRDefault="004B4C13" w:rsidP="004B4C13">
      <w:pPr>
        <w:rPr>
          <w:noProof/>
        </w:rPr>
      </w:pPr>
      <w:r>
        <w:rPr>
          <w:noProof/>
        </w:rPr>
        <w:t>Philippa Childs</w:t>
      </w:r>
    </w:p>
    <w:p w14:paraId="37F7CF57" w14:textId="77777777" w:rsidR="004B4C13" w:rsidRDefault="004B4C13" w:rsidP="004B4C13">
      <w:pPr>
        <w:rPr>
          <w:noProof/>
        </w:rPr>
      </w:pPr>
      <w:r>
        <w:rPr>
          <w:noProof/>
        </w:rPr>
        <w:t>Deputy general secretary and head of Bectu sector</w:t>
      </w:r>
    </w:p>
    <w:p w14:paraId="38DA17F2" w14:textId="77777777" w:rsidR="004B4C13" w:rsidRDefault="004B4C13" w:rsidP="004B4C13">
      <w:pPr>
        <w:rPr>
          <w:noProof/>
        </w:rPr>
      </w:pPr>
      <w:r>
        <w:rPr>
          <w:noProof/>
        </w:rPr>
        <w:lastRenderedPageBreak/>
        <w:t>Noel McClean</w:t>
      </w:r>
    </w:p>
    <w:p w14:paraId="21D56DF7" w14:textId="77777777" w:rsidR="004B4C13" w:rsidRDefault="004B4C13" w:rsidP="004B4C13">
      <w:pPr>
        <w:rPr>
          <w:noProof/>
        </w:rPr>
      </w:pPr>
      <w:r>
        <w:rPr>
          <w:noProof/>
        </w:rPr>
        <w:t>Deputy general secretary</w:t>
      </w:r>
    </w:p>
    <w:p w14:paraId="13E86869" w14:textId="77777777" w:rsidR="004B4C13" w:rsidRDefault="004B4C13" w:rsidP="004B4C13">
      <w:pPr>
        <w:rPr>
          <w:noProof/>
        </w:rPr>
      </w:pPr>
      <w:r>
        <w:rPr>
          <w:noProof/>
        </w:rPr>
        <w:t xml:space="preserve"> Steve Thomas</w:t>
      </w:r>
    </w:p>
    <w:p w14:paraId="55FA4927" w14:textId="77777777" w:rsidR="004B4C13" w:rsidRDefault="004B4C13" w:rsidP="004B4C13">
      <w:pPr>
        <w:rPr>
          <w:noProof/>
        </w:rPr>
      </w:pPr>
      <w:r>
        <w:rPr>
          <w:noProof/>
        </w:rPr>
        <w:t>Deputy general secretary</w:t>
      </w:r>
    </w:p>
    <w:p w14:paraId="7DD5422B" w14:textId="77777777" w:rsidR="004B4C13" w:rsidRDefault="004B4C13" w:rsidP="004B4C13">
      <w:pPr>
        <w:rPr>
          <w:noProof/>
        </w:rPr>
      </w:pPr>
      <w:r>
        <w:rPr>
          <w:noProof/>
        </w:rPr>
        <w:t>Hafsa Begum</w:t>
      </w:r>
    </w:p>
    <w:p w14:paraId="79586620" w14:textId="77777777" w:rsidR="004B4C13" w:rsidRDefault="004B4C13" w:rsidP="004B4C13">
      <w:pPr>
        <w:rPr>
          <w:noProof/>
        </w:rPr>
      </w:pPr>
      <w:r>
        <w:rPr>
          <w:noProof/>
        </w:rPr>
        <w:t>Director of finance and estate management</w:t>
      </w:r>
    </w:p>
    <w:p w14:paraId="4F52D93A" w14:textId="77777777" w:rsidR="004B4C13" w:rsidRDefault="004B4C13" w:rsidP="004B4C13">
      <w:pPr>
        <w:rPr>
          <w:noProof/>
        </w:rPr>
      </w:pPr>
      <w:r>
        <w:rPr>
          <w:noProof/>
        </w:rPr>
        <w:t>Nicola Duffy</w:t>
      </w:r>
    </w:p>
    <w:p w14:paraId="38646CCC" w14:textId="77777777" w:rsidR="004B4C13" w:rsidRDefault="004B4C13" w:rsidP="004B4C13">
      <w:pPr>
        <w:rPr>
          <w:noProof/>
        </w:rPr>
      </w:pPr>
      <w:r>
        <w:rPr>
          <w:noProof/>
        </w:rPr>
        <w:t>Director of people and operations</w:t>
      </w:r>
    </w:p>
    <w:p w14:paraId="7FAEA912" w14:textId="77777777" w:rsidR="004B4C13" w:rsidRDefault="004B4C13" w:rsidP="004B4C13">
      <w:pPr>
        <w:rPr>
          <w:noProof/>
        </w:rPr>
      </w:pPr>
      <w:r>
        <w:rPr>
          <w:noProof/>
        </w:rPr>
        <w:t>Kieren Walters</w:t>
      </w:r>
    </w:p>
    <w:p w14:paraId="6A990502" w14:textId="77777777" w:rsidR="004B4C13" w:rsidRDefault="004B4C13" w:rsidP="004B4C13">
      <w:pPr>
        <w:rPr>
          <w:noProof/>
        </w:rPr>
      </w:pPr>
      <w:r>
        <w:rPr>
          <w:noProof/>
        </w:rPr>
        <w:t>Director of communications and research"</w:t>
      </w:r>
    </w:p>
    <w:p w14:paraId="0B62061B" w14:textId="77777777" w:rsidR="004B4C13" w:rsidRDefault="004B4C13" w:rsidP="004B4C13">
      <w:r>
        <w:rPr>
          <w:noProof/>
        </w:rPr>
        <w:t>Therefore, there is at least one head of a Prospect sector. This change merely lets sectors elect heads if the sector chooses to do so and doesn’t impose any obligation on sectors across the union, if this is not appropriate to their organisation, or no such structure exists. However, such enabling needs to come from Prospect Conference so this is a valid option for change.</w:t>
      </w:r>
    </w:p>
    <w:p w14:paraId="4A90EE42" w14:textId="77777777" w:rsidR="004B4C13" w:rsidRDefault="004B4C13" w:rsidP="004B4C13">
      <w:pPr>
        <w:rPr>
          <w:i/>
          <w:iCs/>
        </w:rPr>
      </w:pPr>
      <w:r w:rsidRPr="00B54274">
        <w:rPr>
          <w:i/>
          <w:iCs/>
          <w:noProof/>
        </w:rPr>
        <w:t>Writers, Producers and Directors Branch/Bectu</w:t>
      </w:r>
    </w:p>
    <w:p w14:paraId="35113983" w14:textId="77777777" w:rsidR="004B4C13" w:rsidRDefault="004B4C13" w:rsidP="004B4C13">
      <w:pPr>
        <w:rPr>
          <w:b/>
          <w:bCs/>
        </w:rPr>
      </w:pPr>
      <w:r w:rsidRPr="00CF53F7">
        <w:rPr>
          <w:b/>
          <w:bCs/>
        </w:rPr>
        <w:t>SOC Out of Order reason</w:t>
      </w:r>
      <w:r>
        <w:rPr>
          <w:b/>
          <w:bCs/>
        </w:rPr>
        <w:t>:</w:t>
      </w:r>
    </w:p>
    <w:p w14:paraId="70D820C4" w14:textId="77777777" w:rsidR="004B4C13" w:rsidRDefault="004B4C13" w:rsidP="004B4C13">
      <w:pPr>
        <w:rPr>
          <w:noProof/>
        </w:rPr>
      </w:pPr>
      <w:r>
        <w:rPr>
          <w:noProof/>
        </w:rPr>
        <w:t xml:space="preserve">In consideration of your RB of ruled out motion 137 the SOC apologises for the mistake in quoting rule 10.07.F it should indeed be rule 10.7 (2) (f). However, for any staff role to become elected would require a change of this rule. </w:t>
      </w:r>
    </w:p>
    <w:p w14:paraId="4BE9562B" w14:textId="77777777" w:rsidR="004B4C13" w:rsidRPr="009C627A" w:rsidRDefault="004B4C13" w:rsidP="004B4C13">
      <w:pPr>
        <w:pStyle w:val="Referencebackheading"/>
      </w:pPr>
      <w:r w:rsidRPr="009C627A">
        <w:t xml:space="preserve">Reference Back </w:t>
      </w:r>
      <w:r w:rsidRPr="00B54274">
        <w:rPr>
          <w:noProof/>
        </w:rPr>
        <w:t>27</w:t>
      </w:r>
    </w:p>
    <w:p w14:paraId="519B833E" w14:textId="77777777" w:rsidR="004B4C13" w:rsidRDefault="004B4C13" w:rsidP="004B4C13">
      <w:pPr>
        <w:rPr>
          <w:b/>
          <w:bCs/>
        </w:rPr>
      </w:pPr>
      <w:r w:rsidRPr="00B54274">
        <w:rPr>
          <w:b/>
          <w:bCs/>
          <w:noProof/>
        </w:rPr>
        <w:t>Rejected (appealed)</w:t>
      </w:r>
    </w:p>
    <w:p w14:paraId="5606B046"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138</w:t>
      </w:r>
    </w:p>
    <w:p w14:paraId="59A54399" w14:textId="77777777" w:rsidR="004B4C13" w:rsidRDefault="004B4C13" w:rsidP="004B4C13">
      <w:r>
        <w:rPr>
          <w:noProof/>
        </w:rPr>
        <w:t>Election Campaigns</w:t>
      </w:r>
    </w:p>
    <w:p w14:paraId="341F1A14" w14:textId="77777777" w:rsidR="004B4C13" w:rsidRDefault="004B4C13" w:rsidP="004B4C13">
      <w:pPr>
        <w:rPr>
          <w:noProof/>
        </w:rPr>
      </w:pPr>
      <w:r>
        <w:rPr>
          <w:noProof/>
        </w:rPr>
        <w:t>The paragraph is referred back because...</w:t>
      </w:r>
    </w:p>
    <w:p w14:paraId="28382E69" w14:textId="77777777" w:rsidR="004B4C13" w:rsidRDefault="004B4C13" w:rsidP="004B4C13">
      <w:r>
        <w:rPr>
          <w:noProof/>
        </w:rPr>
        <w:t>Paragraph 7 of the Codes of Conduct for Elections is mentioned in the 2024 Prospect rule book (page 27). The suggested amendments both specify the paragraph and sentences that would change. The SOC and Prospect secretariat supporting it is more than capable of formatting this clear instruction and collectively has more time and resource than the hard-pressed freelance members going through seemingly endless processes to produce motions and participate in the democracy of the union.</w:t>
      </w:r>
    </w:p>
    <w:p w14:paraId="0E592E04" w14:textId="77777777" w:rsidR="004B4C13" w:rsidRDefault="004B4C13" w:rsidP="004B4C13">
      <w:pPr>
        <w:rPr>
          <w:i/>
          <w:iCs/>
        </w:rPr>
      </w:pPr>
      <w:r w:rsidRPr="00B54274">
        <w:rPr>
          <w:i/>
          <w:iCs/>
          <w:noProof/>
        </w:rPr>
        <w:t>Writers, Producers and Directors Branch/Bectu</w:t>
      </w:r>
    </w:p>
    <w:p w14:paraId="0E4707F4" w14:textId="77777777" w:rsidR="004B4C13" w:rsidRDefault="004B4C13" w:rsidP="004B4C13">
      <w:pPr>
        <w:rPr>
          <w:b/>
          <w:bCs/>
        </w:rPr>
      </w:pPr>
      <w:r w:rsidRPr="00CF53F7">
        <w:rPr>
          <w:b/>
          <w:bCs/>
        </w:rPr>
        <w:t>SOC Out of Order reason</w:t>
      </w:r>
      <w:r>
        <w:rPr>
          <w:b/>
          <w:bCs/>
        </w:rPr>
        <w:t>:</w:t>
      </w:r>
    </w:p>
    <w:p w14:paraId="5608CD78" w14:textId="77777777" w:rsidR="004B4C13" w:rsidRDefault="004B4C13" w:rsidP="004B4C13">
      <w:pPr>
        <w:rPr>
          <w:noProof/>
        </w:rPr>
      </w:pPr>
      <w:r>
        <w:rPr>
          <w:noProof/>
        </w:rPr>
        <w:t>There are 2 codes of conduct, one for the NEC and one for the General Secretary. The SOC cannot infer the meaning of a rule change.</w:t>
      </w:r>
    </w:p>
    <w:p w14:paraId="2ABF466B" w14:textId="77777777" w:rsidR="004B4C13" w:rsidRDefault="004B4C13" w:rsidP="004B4C13">
      <w:pPr>
        <w:rPr>
          <w:noProof/>
        </w:rPr>
      </w:pPr>
      <w:r>
        <w:rPr>
          <w:noProof/>
        </w:rPr>
        <w:t xml:space="preserve">The SOC would like to respectfully point out they are also elected members with working lives and requests correspondence to the SOC remains courteous. </w:t>
      </w:r>
    </w:p>
    <w:p w14:paraId="3B53D2BA" w14:textId="77777777" w:rsidR="004B4C13" w:rsidRPr="009C627A" w:rsidRDefault="004B4C13" w:rsidP="004B4C13">
      <w:pPr>
        <w:pStyle w:val="Referencebackheading"/>
      </w:pPr>
      <w:r w:rsidRPr="009C627A">
        <w:t xml:space="preserve">Reference Back </w:t>
      </w:r>
      <w:r w:rsidRPr="00B54274">
        <w:rPr>
          <w:noProof/>
        </w:rPr>
        <w:t>28</w:t>
      </w:r>
    </w:p>
    <w:p w14:paraId="19C7F613" w14:textId="77777777" w:rsidR="004B4C13" w:rsidRDefault="004B4C13" w:rsidP="004B4C13">
      <w:pPr>
        <w:rPr>
          <w:b/>
          <w:bCs/>
        </w:rPr>
      </w:pPr>
      <w:r w:rsidRPr="00B54274">
        <w:rPr>
          <w:b/>
          <w:bCs/>
          <w:noProof/>
        </w:rPr>
        <w:t>Rejected (appealed)</w:t>
      </w:r>
    </w:p>
    <w:p w14:paraId="2737FBD7"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140</w:t>
      </w:r>
    </w:p>
    <w:p w14:paraId="29C51EC7" w14:textId="77777777" w:rsidR="004B4C13" w:rsidRDefault="004B4C13" w:rsidP="004B4C13">
      <w:r>
        <w:rPr>
          <w:noProof/>
        </w:rPr>
        <w:t>Election of the General Secretary</w:t>
      </w:r>
    </w:p>
    <w:p w14:paraId="0A3A9090" w14:textId="77777777" w:rsidR="004B4C13" w:rsidRDefault="004B4C13" w:rsidP="004B4C13">
      <w:pPr>
        <w:rPr>
          <w:noProof/>
        </w:rPr>
      </w:pPr>
      <w:r>
        <w:rPr>
          <w:noProof/>
        </w:rPr>
        <w:t>The paragraph is referred back because...</w:t>
      </w:r>
    </w:p>
    <w:p w14:paraId="03C896BE" w14:textId="77777777" w:rsidR="004B4C13" w:rsidRDefault="004B4C13" w:rsidP="004B4C13">
      <w:pPr>
        <w:rPr>
          <w:noProof/>
        </w:rPr>
      </w:pPr>
      <w:r>
        <w:rPr>
          <w:noProof/>
        </w:rPr>
        <w:lastRenderedPageBreak/>
        <w:t xml:space="preserve">As the rule change neither amends or adds, the use of ‘abolish’ is the correct and most succinct wording. Amend to ‘abolish’ would be unnecessary and clumsy verbiage that would not help Conference delegates quickly and effectively read and absorb the issues they had to decide on, whereas this phrasing does. </w:t>
      </w:r>
    </w:p>
    <w:p w14:paraId="414BB3DE" w14:textId="77777777" w:rsidR="004B4C13" w:rsidRDefault="004B4C13" w:rsidP="004B4C13">
      <w:pPr>
        <w:rPr>
          <w:noProof/>
        </w:rPr>
      </w:pPr>
      <w:r>
        <w:rPr>
          <w:noProof/>
        </w:rPr>
        <w:t>Adding “amended rule to read as follows”, as the November 2025 guidance suggests would either mean leaving a space, as the whole of rule 10.2 (3) would disappear under this rule change, or it would need nine paragraphs and three sub-paragraphs without this one to spell out the rest of the rule 10.2 that remains.</w:t>
      </w:r>
    </w:p>
    <w:p w14:paraId="10401202" w14:textId="77777777" w:rsidR="004B4C13" w:rsidRDefault="004B4C13" w:rsidP="004B4C13">
      <w:r>
        <w:rPr>
          <w:noProof/>
        </w:rPr>
        <w:t>This is very accurately and precisely defined.</w:t>
      </w:r>
    </w:p>
    <w:p w14:paraId="04FF9FB6" w14:textId="77777777" w:rsidR="004B4C13" w:rsidRDefault="004B4C13" w:rsidP="004B4C13">
      <w:pPr>
        <w:rPr>
          <w:i/>
          <w:iCs/>
        </w:rPr>
      </w:pPr>
      <w:r w:rsidRPr="00B54274">
        <w:rPr>
          <w:i/>
          <w:iCs/>
          <w:noProof/>
        </w:rPr>
        <w:t>Writers, Producers and Directors Branch/Bectu</w:t>
      </w:r>
    </w:p>
    <w:p w14:paraId="5D9EB972" w14:textId="77777777" w:rsidR="004B4C13" w:rsidRDefault="004B4C13" w:rsidP="004B4C13">
      <w:pPr>
        <w:rPr>
          <w:b/>
          <w:bCs/>
        </w:rPr>
      </w:pPr>
      <w:r w:rsidRPr="00CF53F7">
        <w:rPr>
          <w:b/>
          <w:bCs/>
        </w:rPr>
        <w:t>SOC Out of Order reason</w:t>
      </w:r>
      <w:r>
        <w:rPr>
          <w:b/>
          <w:bCs/>
        </w:rPr>
        <w:t>:</w:t>
      </w:r>
    </w:p>
    <w:p w14:paraId="2D3D2A53" w14:textId="77777777" w:rsidR="004B4C13" w:rsidRDefault="004B4C13" w:rsidP="004B4C13">
      <w:pPr>
        <w:rPr>
          <w:noProof/>
        </w:rPr>
      </w:pPr>
      <w:r>
        <w:rPr>
          <w:noProof/>
        </w:rPr>
        <w:t>Clear guidance was given on how to write a rule change on the rule change form. A rule should be deleted and not abolished and renumbering should be requested. Furthermore, the SOC was available for guidance on rule changes before the date of submission.</w:t>
      </w:r>
    </w:p>
    <w:p w14:paraId="3460820E" w14:textId="77777777" w:rsidR="004B4C13" w:rsidRPr="009C627A" w:rsidRDefault="004B4C13" w:rsidP="004B4C13">
      <w:pPr>
        <w:pStyle w:val="Referencebackheading"/>
      </w:pPr>
      <w:r w:rsidRPr="009C627A">
        <w:t xml:space="preserve">Reference Back </w:t>
      </w:r>
      <w:r w:rsidRPr="00B54274">
        <w:rPr>
          <w:noProof/>
        </w:rPr>
        <w:t>29</w:t>
      </w:r>
    </w:p>
    <w:p w14:paraId="756A194A" w14:textId="77777777" w:rsidR="004B4C13" w:rsidRDefault="004B4C13" w:rsidP="004B4C13">
      <w:pPr>
        <w:rPr>
          <w:b/>
          <w:bCs/>
        </w:rPr>
      </w:pPr>
      <w:r w:rsidRPr="00B54274">
        <w:rPr>
          <w:b/>
          <w:bCs/>
          <w:noProof/>
        </w:rPr>
        <w:t>Rejected (appealed)</w:t>
      </w:r>
    </w:p>
    <w:p w14:paraId="025933A8"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141</w:t>
      </w:r>
    </w:p>
    <w:p w14:paraId="331F6C9A" w14:textId="77777777" w:rsidR="004B4C13" w:rsidRDefault="004B4C13" w:rsidP="004B4C13">
      <w:r>
        <w:rPr>
          <w:noProof/>
        </w:rPr>
        <w:t>Devolving branch organisation to the relevant sector</w:t>
      </w:r>
    </w:p>
    <w:p w14:paraId="57962F1B" w14:textId="77777777" w:rsidR="004B4C13" w:rsidRDefault="004B4C13" w:rsidP="004B4C13">
      <w:pPr>
        <w:rPr>
          <w:noProof/>
        </w:rPr>
      </w:pPr>
      <w:r>
        <w:rPr>
          <w:noProof/>
        </w:rPr>
        <w:t>The paragraph is referred back because...</w:t>
      </w:r>
    </w:p>
    <w:p w14:paraId="379A0383" w14:textId="77777777" w:rsidR="004B4C13" w:rsidRDefault="004B4C13" w:rsidP="004B4C13">
      <w:pPr>
        <w:rPr>
          <w:noProof/>
        </w:rPr>
      </w:pPr>
      <w:r>
        <w:rPr>
          <w:noProof/>
        </w:rPr>
        <w:t>Prospect Rule 6.1 states: “There shall be such Sectors consisting of all of the Branches in an industry or like industries, as determined by National Executive Committee. Each Sector shall be governed by a Sector Executive Committee”.</w:t>
      </w:r>
    </w:p>
    <w:p w14:paraId="2A85973A" w14:textId="77777777" w:rsidR="004B4C13" w:rsidRDefault="004B4C13" w:rsidP="004B4C13">
      <w:pPr>
        <w:rPr>
          <w:noProof/>
        </w:rPr>
      </w:pPr>
      <w:r>
        <w:rPr>
          <w:noProof/>
        </w:rPr>
        <w:t>Therefore, if there are sectors without SECs, they are in breach of the 2024 Prospect rules.</w:t>
      </w:r>
    </w:p>
    <w:p w14:paraId="4D7C343E" w14:textId="40506AE2" w:rsidR="004B4C13" w:rsidRDefault="004B4C13" w:rsidP="004B4C13">
      <w:pPr>
        <w:rPr>
          <w:noProof/>
        </w:rPr>
      </w:pPr>
      <w:r>
        <w:rPr>
          <w:noProof/>
        </w:rPr>
        <w:t>The rule changes are spelled out clearly so stating the revised rule is unnecessary but can be explained for the conference paper, based on the information provided, if the SOC, or conference secretariat deems it useful, or necessary.</w:t>
      </w:r>
    </w:p>
    <w:p w14:paraId="30ED14BA" w14:textId="77777777" w:rsidR="004B4C13" w:rsidRDefault="004B4C13" w:rsidP="004B4C13">
      <w:pPr>
        <w:rPr>
          <w:i/>
          <w:iCs/>
        </w:rPr>
      </w:pPr>
      <w:r w:rsidRPr="00B54274">
        <w:rPr>
          <w:i/>
          <w:iCs/>
          <w:noProof/>
        </w:rPr>
        <w:t>Writers, Producers and Directors Branch/Bectu</w:t>
      </w:r>
    </w:p>
    <w:p w14:paraId="1240F41F" w14:textId="77777777" w:rsidR="004B4C13" w:rsidRDefault="004B4C13" w:rsidP="004B4C13">
      <w:pPr>
        <w:rPr>
          <w:b/>
          <w:bCs/>
        </w:rPr>
      </w:pPr>
      <w:r w:rsidRPr="00CF53F7">
        <w:rPr>
          <w:b/>
          <w:bCs/>
        </w:rPr>
        <w:t>SOC Out of Order reason</w:t>
      </w:r>
      <w:r>
        <w:rPr>
          <w:b/>
          <w:bCs/>
        </w:rPr>
        <w:t>:</w:t>
      </w:r>
    </w:p>
    <w:p w14:paraId="60E206DA" w14:textId="77777777" w:rsidR="004B4C13" w:rsidRDefault="004B4C13" w:rsidP="004B4C13">
      <w:pPr>
        <w:rPr>
          <w:noProof/>
        </w:rPr>
      </w:pPr>
      <w:r>
        <w:rPr>
          <w:noProof/>
        </w:rPr>
        <w:t>All rule changes should be properly drafted. Furthermore, not all members or branches are in a sector and therefore do not have a sector executive committee.</w:t>
      </w:r>
    </w:p>
    <w:p w14:paraId="28831197" w14:textId="77777777" w:rsidR="005938CE" w:rsidRDefault="005938CE" w:rsidP="004B4C13">
      <w:pPr>
        <w:rPr>
          <w:noProof/>
        </w:rPr>
      </w:pPr>
    </w:p>
    <w:p w14:paraId="7C34ADFD" w14:textId="47AB12A0" w:rsidR="005938CE" w:rsidRPr="005938CE" w:rsidRDefault="005938CE" w:rsidP="004B4C13">
      <w:pPr>
        <w:rPr>
          <w:b/>
          <w:bCs/>
          <w:noProof/>
          <w:sz w:val="40"/>
          <w:szCs w:val="40"/>
        </w:rPr>
      </w:pPr>
      <w:r w:rsidRPr="005938CE">
        <w:rPr>
          <w:b/>
          <w:bCs/>
          <w:noProof/>
          <w:sz w:val="40"/>
          <w:szCs w:val="40"/>
        </w:rPr>
        <w:t xml:space="preserve">Rejected not appealed </w:t>
      </w:r>
    </w:p>
    <w:p w14:paraId="6A6DAD9C" w14:textId="77777777" w:rsidR="004B4C13" w:rsidRPr="009C627A" w:rsidRDefault="004B4C13" w:rsidP="004B4C13">
      <w:pPr>
        <w:pStyle w:val="Referencebackheading"/>
      </w:pPr>
      <w:r w:rsidRPr="009C627A">
        <w:t xml:space="preserve">Reference Back </w:t>
      </w:r>
      <w:r w:rsidRPr="00B54274">
        <w:rPr>
          <w:noProof/>
        </w:rPr>
        <w:t>13</w:t>
      </w:r>
    </w:p>
    <w:p w14:paraId="0CAA2473" w14:textId="77777777" w:rsidR="004B4C13" w:rsidRDefault="004B4C13" w:rsidP="004B4C13">
      <w:pPr>
        <w:rPr>
          <w:b/>
          <w:bCs/>
        </w:rPr>
      </w:pPr>
      <w:r w:rsidRPr="00B54274">
        <w:rPr>
          <w:b/>
          <w:bCs/>
          <w:noProof/>
        </w:rPr>
        <w:t>Rejected (not appealed)</w:t>
      </w:r>
    </w:p>
    <w:p w14:paraId="7644FD08"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AR</w:t>
      </w:r>
    </w:p>
    <w:p w14:paraId="4FAC1105" w14:textId="77777777" w:rsidR="004B4C13" w:rsidRDefault="004B4C13" w:rsidP="004B4C13">
      <w:r>
        <w:rPr>
          <w:noProof/>
        </w:rPr>
        <w:t>Data Breach and cyber incident</w:t>
      </w:r>
    </w:p>
    <w:p w14:paraId="1715C310" w14:textId="77777777" w:rsidR="004B4C13" w:rsidRDefault="004B4C13" w:rsidP="004B4C13">
      <w:pPr>
        <w:rPr>
          <w:noProof/>
        </w:rPr>
      </w:pPr>
      <w:r>
        <w:rPr>
          <w:noProof/>
        </w:rPr>
        <w:t xml:space="preserve">The section of the Annual Report on page 84-85 headed Data Breach and cyber incident. The paragraphs are referred because conference is concerned at the lack of explanation as to how this breach occurred and instead of the promised explanation, a document entitled "Cyber Controls Assessment Executive Summary" was published in February 2026 that only referred to the situation pertaining five months after the breach. </w:t>
      </w:r>
    </w:p>
    <w:p w14:paraId="38E8F2E9" w14:textId="77777777" w:rsidR="004B4C13" w:rsidRDefault="004B4C13" w:rsidP="004B4C13">
      <w:pPr>
        <w:rPr>
          <w:noProof/>
        </w:rPr>
      </w:pPr>
      <w:r>
        <w:rPr>
          <w:noProof/>
        </w:rPr>
        <w:t xml:space="preserve">Conference notes the Annual Report's statement "none of the new third-party systems such as the CRM had been impacted and Microsoft systems were also unaffected", which implies that the </w:t>
      </w:r>
      <w:r>
        <w:rPr>
          <w:noProof/>
        </w:rPr>
        <w:lastRenderedPageBreak/>
        <w:t>data that was accessed may have been held in an uncontrolled and insecure manner outside the union's systems.</w:t>
      </w:r>
    </w:p>
    <w:p w14:paraId="5BBBB407" w14:textId="77777777" w:rsidR="004B4C13" w:rsidRDefault="004B4C13" w:rsidP="004B4C13">
      <w:pPr>
        <w:rPr>
          <w:noProof/>
        </w:rPr>
      </w:pPr>
      <w:r>
        <w:rPr>
          <w:noProof/>
        </w:rPr>
        <w:t>Conference is also concerned at the delay (approaching four months) in reporting the breach to branches and members and notes with particular concern that the Annual Report states that identification of affected members did not begin until six weeks after the incident.</w:t>
      </w:r>
    </w:p>
    <w:p w14:paraId="4AF65326" w14:textId="77777777" w:rsidR="004B4C13" w:rsidRDefault="004B4C13" w:rsidP="004B4C13">
      <w:pPr>
        <w:rPr>
          <w:noProof/>
        </w:rPr>
      </w:pPr>
      <w:r>
        <w:rPr>
          <w:noProof/>
        </w:rPr>
        <w:t>Conference also notes the apparent lack of NEC governance and transparency on this breach, with no reference whatsoever to the breach in the open minutes of the four NEC minutes which followed the incident. Whilst aspects of the incident may have needed to be discussed in closed session this should have been kept to a minimum.</w:t>
      </w:r>
    </w:p>
    <w:p w14:paraId="66E0B424" w14:textId="77777777" w:rsidR="004B4C13" w:rsidRDefault="004B4C13" w:rsidP="004B4C13">
      <w:pPr>
        <w:rPr>
          <w:noProof/>
        </w:rPr>
      </w:pPr>
      <w:r>
        <w:rPr>
          <w:noProof/>
        </w:rPr>
        <w:t>Conference instructs the NEC to:</w:t>
      </w:r>
    </w:p>
    <w:p w14:paraId="556BB307" w14:textId="77777777" w:rsidR="004B4C13" w:rsidRDefault="004B4C13" w:rsidP="004B4C13">
      <w:pPr>
        <w:rPr>
          <w:noProof/>
        </w:rPr>
      </w:pPr>
      <w:r>
        <w:rPr>
          <w:noProof/>
        </w:rPr>
        <w:t>•</w:t>
      </w:r>
      <w:r>
        <w:rPr>
          <w:noProof/>
        </w:rPr>
        <w:tab/>
        <w:t>Publish to branches the approximate number of members whose data was accessed.</w:t>
      </w:r>
    </w:p>
    <w:p w14:paraId="1FBFE73D" w14:textId="77777777" w:rsidR="004B4C13" w:rsidRDefault="004B4C13" w:rsidP="004B4C13">
      <w:pPr>
        <w:rPr>
          <w:noProof/>
        </w:rPr>
      </w:pPr>
      <w:r>
        <w:rPr>
          <w:noProof/>
        </w:rPr>
        <w:t>•</w:t>
      </w:r>
      <w:r>
        <w:rPr>
          <w:noProof/>
        </w:rPr>
        <w:tab/>
        <w:t>Provide branches with an explanation of why identification of affected members did not commence immediately rather than until six weeks after the breach.</w:t>
      </w:r>
    </w:p>
    <w:p w14:paraId="2016E4E1" w14:textId="77777777" w:rsidR="004B4C13" w:rsidRDefault="004B4C13" w:rsidP="004B4C13">
      <w:pPr>
        <w:rPr>
          <w:noProof/>
        </w:rPr>
      </w:pPr>
      <w:r>
        <w:rPr>
          <w:noProof/>
        </w:rPr>
        <w:t>•</w:t>
      </w:r>
      <w:r>
        <w:rPr>
          <w:noProof/>
        </w:rPr>
        <w:tab/>
        <w:t>Provide branches with an explanation as to how a very significant amount of sensitive data came to be held, seemingly insecurely, outside the union's main systems.</w:t>
      </w:r>
    </w:p>
    <w:p w14:paraId="29575DC9" w14:textId="77777777" w:rsidR="004B4C13" w:rsidRDefault="004B4C13" w:rsidP="004B4C13">
      <w:pPr>
        <w:rPr>
          <w:noProof/>
        </w:rPr>
      </w:pPr>
      <w:r>
        <w:rPr>
          <w:noProof/>
        </w:rPr>
        <w:t>•</w:t>
      </w:r>
      <w:r>
        <w:rPr>
          <w:noProof/>
        </w:rPr>
        <w:tab/>
        <w:t>Take a much more open approach with branches and members in the event of any future cyber incident.</w:t>
      </w:r>
    </w:p>
    <w:p w14:paraId="17B5BDE4" w14:textId="77777777" w:rsidR="004B4C13" w:rsidRDefault="004B4C13" w:rsidP="004B4C13"/>
    <w:p w14:paraId="32428D73" w14:textId="77777777" w:rsidR="004B4C13" w:rsidRDefault="004B4C13" w:rsidP="004B4C13">
      <w:pPr>
        <w:rPr>
          <w:i/>
          <w:iCs/>
        </w:rPr>
      </w:pPr>
      <w:r w:rsidRPr="00B54274">
        <w:rPr>
          <w:i/>
          <w:iCs/>
          <w:noProof/>
        </w:rPr>
        <w:t>North West Freelance Branch/BECTU</w:t>
      </w:r>
    </w:p>
    <w:p w14:paraId="3E394267" w14:textId="77777777" w:rsidR="004B4C13" w:rsidRDefault="004B4C13" w:rsidP="004B4C13">
      <w:pPr>
        <w:rPr>
          <w:b/>
          <w:bCs/>
        </w:rPr>
      </w:pPr>
      <w:r w:rsidRPr="00CF53F7">
        <w:rPr>
          <w:b/>
          <w:bCs/>
        </w:rPr>
        <w:t>SOC Out of Order reason</w:t>
      </w:r>
      <w:r>
        <w:rPr>
          <w:b/>
          <w:bCs/>
        </w:rPr>
        <w:t>:</w:t>
      </w:r>
    </w:p>
    <w:p w14:paraId="35B54A27" w14:textId="77777777" w:rsidR="004B4C13" w:rsidRDefault="004B4C13" w:rsidP="004B4C13">
      <w:pPr>
        <w:rPr>
          <w:noProof/>
        </w:rPr>
      </w:pPr>
      <w:r>
        <w:rPr>
          <w:noProof/>
        </w:rPr>
        <w:t>There is an instruction included in the reference back of the annual report. Therefore, the SOC has redirected this as a motion as it is a s new business rather than a reference back and the deadline for motions has now passed.  There is a similar motion on the agenda that you may wish to pursue.</w:t>
      </w:r>
    </w:p>
    <w:p w14:paraId="13566EC0" w14:textId="77777777" w:rsidR="004B4C13" w:rsidRPr="009C627A" w:rsidRDefault="004B4C13" w:rsidP="004B4C13">
      <w:pPr>
        <w:pStyle w:val="Referencebackheading"/>
      </w:pPr>
      <w:r w:rsidRPr="009C627A">
        <w:t xml:space="preserve">Reference Back </w:t>
      </w:r>
      <w:r w:rsidRPr="00B54274">
        <w:rPr>
          <w:noProof/>
        </w:rPr>
        <w:t>24</w:t>
      </w:r>
    </w:p>
    <w:p w14:paraId="75E382A1" w14:textId="77777777" w:rsidR="004B4C13" w:rsidRDefault="004B4C13" w:rsidP="004B4C13">
      <w:pPr>
        <w:rPr>
          <w:b/>
          <w:bCs/>
        </w:rPr>
      </w:pPr>
      <w:r w:rsidRPr="00B54274">
        <w:rPr>
          <w:b/>
          <w:bCs/>
          <w:noProof/>
        </w:rPr>
        <w:t>Rejected (not appealed)</w:t>
      </w:r>
    </w:p>
    <w:p w14:paraId="3417543F"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97</w:t>
      </w:r>
    </w:p>
    <w:p w14:paraId="7E07D52B" w14:textId="77777777" w:rsidR="004B4C13" w:rsidRDefault="004B4C13" w:rsidP="004B4C13">
      <w:pPr>
        <w:rPr>
          <w:noProof/>
        </w:rPr>
      </w:pPr>
      <w:r>
        <w:rPr>
          <w:noProof/>
        </w:rPr>
        <w:t>"Reason for being out of order:</w:t>
      </w:r>
    </w:p>
    <w:p w14:paraId="0D89BC20" w14:textId="77777777" w:rsidR="004B4C13" w:rsidRDefault="004B4C13" w:rsidP="004B4C13">
      <w:pPr>
        <w:rPr>
          <w:noProof/>
        </w:rPr>
      </w:pPr>
      <w:r>
        <w:rPr>
          <w:noProof/>
        </w:rPr>
        <w:t>Due to the motion being 100 words more than the length of suggested word count".</w:t>
      </w:r>
    </w:p>
    <w:p w14:paraId="7802C182" w14:textId="77777777" w:rsidR="004B4C13" w:rsidRDefault="004B4C13" w:rsidP="004B4C13"/>
    <w:p w14:paraId="1CC686AC" w14:textId="77777777" w:rsidR="004B4C13" w:rsidRDefault="004B4C13" w:rsidP="004B4C13">
      <w:pPr>
        <w:rPr>
          <w:noProof/>
        </w:rPr>
      </w:pPr>
      <w:r>
        <w:rPr>
          <w:noProof/>
        </w:rPr>
        <w:t>We understood the word count was stated as "suggested" rather than being absolute, so given that the motion is only 100 words over this count we believe it is on an issue important enough to allow the motion to progress to conference.</w:t>
      </w:r>
    </w:p>
    <w:p w14:paraId="07294470" w14:textId="77777777" w:rsidR="004B4C13" w:rsidRDefault="004B4C13" w:rsidP="004B4C13">
      <w:pPr>
        <w:rPr>
          <w:noProof/>
        </w:rPr>
      </w:pPr>
      <w:r>
        <w:rPr>
          <w:noProof/>
        </w:rPr>
        <w:t>We believe we can edit the background to the motion to bring it below the suggested word count which will not materially change the motion or the instruction.</w:t>
      </w:r>
    </w:p>
    <w:p w14:paraId="553328E5" w14:textId="77777777" w:rsidR="004B4C13" w:rsidRDefault="004B4C13" w:rsidP="004B4C13">
      <w:pPr>
        <w:rPr>
          <w:noProof/>
        </w:rPr>
      </w:pPr>
      <w:r>
        <w:rPr>
          <w:noProof/>
        </w:rPr>
        <w:t xml:space="preserve">This is a matter of national importance that should not be overlooked for the sake of 100 words. This is also a 'high profile' issue in the media, where there are regular articles in the press, which makes raising the profile of this issue within Prospect even more critical. </w:t>
      </w:r>
    </w:p>
    <w:p w14:paraId="26B4B97A" w14:textId="77777777" w:rsidR="004B4C13" w:rsidRDefault="004B4C13" w:rsidP="004B4C13">
      <w:pPr>
        <w:rPr>
          <w:noProof/>
        </w:rPr>
      </w:pPr>
      <w:r>
        <w:rPr>
          <w:noProof/>
        </w:rPr>
        <w:t xml:space="preserve">We also need to consider the reputational impact for Prospect as well as for our Branch (e.g. loss of members to other unions) if we return to our Branch members to advise that our motion relating to something of national importance was rejected because the wording was over the ‘recommended amount’. </w:t>
      </w:r>
    </w:p>
    <w:p w14:paraId="7E3C4074" w14:textId="77777777" w:rsidR="004B4C13" w:rsidRDefault="004B4C13" w:rsidP="004B4C13"/>
    <w:p w14:paraId="688198C0" w14:textId="77777777" w:rsidR="004B4C13" w:rsidRDefault="004B4C13" w:rsidP="004B4C13">
      <w:pPr>
        <w:rPr>
          <w:i/>
          <w:iCs/>
        </w:rPr>
      </w:pPr>
      <w:r w:rsidRPr="00B54274">
        <w:rPr>
          <w:i/>
          <w:iCs/>
          <w:noProof/>
        </w:rPr>
        <w:t>DHSC &amp; MHRA Branch (formerly Dept of Health)</w:t>
      </w:r>
    </w:p>
    <w:p w14:paraId="4ECDEC45" w14:textId="77777777" w:rsidR="004B4C13" w:rsidRDefault="004B4C13" w:rsidP="004B4C13">
      <w:pPr>
        <w:rPr>
          <w:b/>
          <w:bCs/>
        </w:rPr>
      </w:pPr>
      <w:r w:rsidRPr="00CF53F7">
        <w:rPr>
          <w:b/>
          <w:bCs/>
        </w:rPr>
        <w:t>SOC Out of Order reason</w:t>
      </w:r>
      <w:r>
        <w:rPr>
          <w:b/>
          <w:bCs/>
        </w:rPr>
        <w:t>:</w:t>
      </w:r>
    </w:p>
    <w:p w14:paraId="4CEDE9D5" w14:textId="77777777" w:rsidR="004B4C13" w:rsidRDefault="004B4C13" w:rsidP="004B4C13">
      <w:pPr>
        <w:rPr>
          <w:noProof/>
        </w:rPr>
      </w:pPr>
      <w:r>
        <w:rPr>
          <w:noProof/>
        </w:rPr>
        <w:t xml:space="preserve">The RB form sets out: </w:t>
      </w:r>
    </w:p>
    <w:p w14:paraId="5E307741" w14:textId="77777777" w:rsidR="004B4C13" w:rsidRDefault="004B4C13" w:rsidP="004B4C13">
      <w:pPr>
        <w:rPr>
          <w:noProof/>
        </w:rPr>
      </w:pPr>
      <w:r>
        <w:rPr>
          <w:noProof/>
        </w:rPr>
        <w:lastRenderedPageBreak/>
        <w:t xml:space="preserve">Items form the Annual Report (including actions taken) and the SOC report can be referred back using this form. </w:t>
      </w:r>
    </w:p>
    <w:p w14:paraId="045BE184" w14:textId="77777777" w:rsidR="004B4C13" w:rsidRDefault="004B4C13" w:rsidP="004B4C13">
      <w:pPr>
        <w:rPr>
          <w:noProof/>
        </w:rPr>
      </w:pPr>
      <w:r>
        <w:rPr>
          <w:noProof/>
        </w:rPr>
        <w:t xml:space="preserve">It is important to state below both the document and paragraph that is being Referenced back. </w:t>
      </w:r>
    </w:p>
    <w:p w14:paraId="53E743D1" w14:textId="77777777" w:rsidR="004B4C13" w:rsidRDefault="004B4C13" w:rsidP="004B4C13">
      <w:pPr>
        <w:rPr>
          <w:noProof/>
        </w:rPr>
      </w:pPr>
      <w:r>
        <w:rPr>
          <w:noProof/>
        </w:rPr>
        <w:t xml:space="preserve">Unfortunately, neither the document nor the paragraph or motion number has been given in the reference back. Nor can a motion be edited after it has been submitted as this would be considered a new motion. </w:t>
      </w:r>
    </w:p>
    <w:p w14:paraId="3DC0E492" w14:textId="77777777" w:rsidR="004B4C13" w:rsidRPr="009C627A" w:rsidRDefault="004B4C13" w:rsidP="004B4C13">
      <w:pPr>
        <w:pStyle w:val="Referencebackheading"/>
      </w:pPr>
      <w:r w:rsidRPr="009C627A">
        <w:t xml:space="preserve">Reference Back </w:t>
      </w:r>
      <w:r w:rsidRPr="00B54274">
        <w:rPr>
          <w:noProof/>
        </w:rPr>
        <w:t>30</w:t>
      </w:r>
    </w:p>
    <w:p w14:paraId="2C0D8297" w14:textId="77777777" w:rsidR="004B4C13" w:rsidRDefault="004B4C13" w:rsidP="004B4C13">
      <w:pPr>
        <w:rPr>
          <w:b/>
          <w:bCs/>
        </w:rPr>
      </w:pPr>
      <w:r w:rsidRPr="00B54274">
        <w:rPr>
          <w:b/>
          <w:bCs/>
          <w:noProof/>
        </w:rPr>
        <w:t>Rejected (not appealed)</w:t>
      </w:r>
    </w:p>
    <w:p w14:paraId="1D57B49F" w14:textId="77777777" w:rsidR="004B4C13" w:rsidRPr="009C627A" w:rsidRDefault="004B4C13" w:rsidP="004B4C13">
      <w:pPr>
        <w:rPr>
          <w:b/>
          <w:bCs/>
        </w:rPr>
      </w:pPr>
      <w:r w:rsidRPr="00B54274">
        <w:rPr>
          <w:b/>
          <w:bCs/>
          <w:noProof/>
        </w:rPr>
        <w:t>Action Taken</w:t>
      </w:r>
      <w:r w:rsidRPr="009C627A">
        <w:rPr>
          <w:b/>
          <w:bCs/>
        </w:rPr>
        <w:t xml:space="preserve"> </w:t>
      </w:r>
      <w:r w:rsidRPr="00B54274">
        <w:rPr>
          <w:b/>
          <w:bCs/>
          <w:noProof/>
        </w:rPr>
        <w:t>Resolution 26</w:t>
      </w:r>
    </w:p>
    <w:p w14:paraId="48B90277" w14:textId="77777777" w:rsidR="004B4C13" w:rsidRDefault="004B4C13" w:rsidP="004B4C13">
      <w:r>
        <w:rPr>
          <w:noProof/>
        </w:rPr>
        <w:t>RB of Action Taken against 2024 Resolution 26</w:t>
      </w:r>
    </w:p>
    <w:p w14:paraId="7CA06CBD" w14:textId="77777777" w:rsidR="004B4C13" w:rsidRDefault="004B4C13" w:rsidP="004B4C13">
      <w:pPr>
        <w:rPr>
          <w:noProof/>
        </w:rPr>
      </w:pPr>
      <w:r>
        <w:rPr>
          <w:noProof/>
        </w:rPr>
        <w:t xml:space="preserve">The Action Taken statement on Resolution 26 of 2026 is referred back as the stated action taken does not properly fulfil the terms of the resolution. </w:t>
      </w:r>
    </w:p>
    <w:p w14:paraId="317882E0" w14:textId="77777777" w:rsidR="004B4C13" w:rsidRDefault="004B4C13" w:rsidP="004B4C13">
      <w:pPr>
        <w:rPr>
          <w:noProof/>
        </w:rPr>
      </w:pPr>
      <w:r>
        <w:rPr>
          <w:noProof/>
        </w:rPr>
        <w:t>Conference notes Resolution 92 of the 2022 Conference which instructed the NEC to seek to implement a simple method enabling branches to email each other directly and not having to go through an official, This was referred back in Resolution 26 of 2024 because it was not complied with.</w:t>
      </w:r>
    </w:p>
    <w:p w14:paraId="77419AB9" w14:textId="77777777" w:rsidR="004B4C13" w:rsidRDefault="004B4C13" w:rsidP="004B4C13">
      <w:pPr>
        <w:rPr>
          <w:noProof/>
        </w:rPr>
      </w:pPr>
      <w:r>
        <w:rPr>
          <w:noProof/>
        </w:rPr>
        <w:t>Resolution 26 further instructed the NEC to address fully the terms of resolution 92 from 2022 conference within 6 months. The NEC failed to introduce a system within 6 months and the system is not simple, it requires branch chairs and branch secretaries to opt into a secure chat function.</w:t>
      </w:r>
    </w:p>
    <w:p w14:paraId="2AD992C2" w14:textId="77777777" w:rsidR="004B4C13" w:rsidRDefault="004B4C13" w:rsidP="004B4C13">
      <w:pPr>
        <w:rPr>
          <w:noProof/>
        </w:rPr>
      </w:pPr>
      <w:r>
        <w:rPr>
          <w:noProof/>
        </w:rPr>
        <w:t>The NEC is instructed to implement a simple method enabling branches to email each other directly (if necessary without knowing the name of the recipient and leaving it up to the recipient to decide whether to respond) without needing to opt-in, and within 6 months.</w:t>
      </w:r>
    </w:p>
    <w:p w14:paraId="66275107" w14:textId="05BD3A93" w:rsidR="004B4C13" w:rsidRDefault="004B4C13" w:rsidP="00990ABE">
      <w:pPr>
        <w:rPr>
          <w:noProof/>
        </w:rPr>
      </w:pPr>
      <w:r>
        <w:rPr>
          <w:noProof/>
        </w:rPr>
        <w:t>In addition, the functionality for group discussions referred to in the response would greatly assist in branch-to-branch communications. Conference regards the 12 month trial period for this functionality as being excessive and instructs the NEC to shorten this period to 3 months.  In addition, Conference instructs the NEC to permit any branch which wishes to do so to take part in this trial.</w:t>
      </w:r>
    </w:p>
    <w:p w14:paraId="0D5C5DE0" w14:textId="77777777" w:rsidR="004B4C13" w:rsidRDefault="004B4C13" w:rsidP="004B4C13">
      <w:pPr>
        <w:rPr>
          <w:i/>
          <w:iCs/>
        </w:rPr>
      </w:pPr>
      <w:r w:rsidRPr="00B54274">
        <w:rPr>
          <w:i/>
          <w:iCs/>
          <w:noProof/>
        </w:rPr>
        <w:t>Telecoms Branch</w:t>
      </w:r>
    </w:p>
    <w:p w14:paraId="2B8A162B" w14:textId="77777777" w:rsidR="004B4C13" w:rsidRDefault="004B4C13" w:rsidP="004B4C13">
      <w:pPr>
        <w:rPr>
          <w:b/>
          <w:bCs/>
        </w:rPr>
      </w:pPr>
      <w:r w:rsidRPr="00CF53F7">
        <w:rPr>
          <w:b/>
          <w:bCs/>
        </w:rPr>
        <w:t>SOC Out of Order reason</w:t>
      </w:r>
      <w:r>
        <w:rPr>
          <w:b/>
          <w:bCs/>
        </w:rPr>
        <w:t>:</w:t>
      </w:r>
    </w:p>
    <w:p w14:paraId="6B814782" w14:textId="77777777" w:rsidR="004B4C13" w:rsidRDefault="004B4C13" w:rsidP="004B4C13">
      <w:pPr>
        <w:rPr>
          <w:noProof/>
        </w:rPr>
      </w:pPr>
      <w:r>
        <w:rPr>
          <w:noProof/>
        </w:rPr>
        <w:t>A reference back cannot further instruct nor add new business.</w:t>
      </w:r>
    </w:p>
    <w:p w14:paraId="1B76975E" w14:textId="77777777" w:rsidR="004B4C13" w:rsidRPr="009C627A" w:rsidRDefault="004B4C13" w:rsidP="004B4C13">
      <w:pPr>
        <w:pStyle w:val="Referencebackheading"/>
      </w:pPr>
      <w:r w:rsidRPr="009C627A">
        <w:t xml:space="preserve">Reference Back </w:t>
      </w:r>
      <w:r w:rsidRPr="00B54274">
        <w:rPr>
          <w:noProof/>
        </w:rPr>
        <w:t>31</w:t>
      </w:r>
    </w:p>
    <w:p w14:paraId="2F99B5A2" w14:textId="77777777" w:rsidR="004B4C13" w:rsidRDefault="004B4C13" w:rsidP="004B4C13">
      <w:pPr>
        <w:rPr>
          <w:b/>
          <w:bCs/>
        </w:rPr>
      </w:pPr>
      <w:r w:rsidRPr="00B54274">
        <w:rPr>
          <w:b/>
          <w:bCs/>
          <w:noProof/>
        </w:rPr>
        <w:t>Rejected (not appealed)</w:t>
      </w:r>
    </w:p>
    <w:p w14:paraId="36D9E271" w14:textId="77777777" w:rsidR="004B4C13" w:rsidRPr="009C627A" w:rsidRDefault="004B4C13" w:rsidP="004B4C13">
      <w:pPr>
        <w:rPr>
          <w:b/>
          <w:bCs/>
        </w:rPr>
      </w:pPr>
      <w:r w:rsidRPr="00B54274">
        <w:rPr>
          <w:b/>
          <w:bCs/>
          <w:noProof/>
        </w:rPr>
        <w:t>Annual Report</w:t>
      </w:r>
      <w:r w:rsidRPr="009C627A">
        <w:rPr>
          <w:b/>
          <w:bCs/>
        </w:rPr>
        <w:t xml:space="preserve"> </w:t>
      </w:r>
      <w:r w:rsidRPr="00B54274">
        <w:rPr>
          <w:b/>
          <w:bCs/>
          <w:noProof/>
        </w:rPr>
        <w:t>Data Breach</w:t>
      </w:r>
    </w:p>
    <w:p w14:paraId="5FD0D3AE" w14:textId="77777777" w:rsidR="004B4C13" w:rsidRDefault="004B4C13" w:rsidP="004B4C13">
      <w:r>
        <w:rPr>
          <w:noProof/>
        </w:rPr>
        <w:t>RB on Cyber incident and risk management</w:t>
      </w:r>
    </w:p>
    <w:p w14:paraId="695590C0" w14:textId="77777777" w:rsidR="004B4C13" w:rsidRDefault="004B4C13" w:rsidP="004B4C13">
      <w:pPr>
        <w:rPr>
          <w:noProof/>
        </w:rPr>
      </w:pPr>
      <w:r>
        <w:rPr>
          <w:noProof/>
        </w:rPr>
        <w:t>The section "Cyber incident and risk management” section of Annual Report is referred back for the reasons below.</w:t>
      </w:r>
    </w:p>
    <w:p w14:paraId="129F0E17" w14:textId="77777777" w:rsidR="004B4C13" w:rsidRDefault="004B4C13" w:rsidP="004B4C13">
      <w:pPr>
        <w:rPr>
          <w:noProof/>
        </w:rPr>
      </w:pPr>
      <w:r>
        <w:rPr>
          <w:noProof/>
        </w:rPr>
        <w:t>Conference notes the Annual Report's information regarding the cyber incident and recognises the pressure this incident put on staff, branches, reps and many members. Conference shares the concern held especially by members whose personal case or diversity data was stolen and by those who work in roles relating to defence, national security or other sensitive areas.</w:t>
      </w:r>
    </w:p>
    <w:p w14:paraId="7AEC30E3" w14:textId="77777777" w:rsidR="004B4C13" w:rsidRDefault="004B4C13" w:rsidP="004B4C13">
      <w:pPr>
        <w:rPr>
          <w:noProof/>
        </w:rPr>
      </w:pPr>
      <w:r>
        <w:rPr>
          <w:noProof/>
        </w:rPr>
        <w:t xml:space="preserve">Conference is concerned at the lack of explanation as to how this breach occurred. Instead of a clear explanation, a document "Cyber Controls Assessment Executive Summary" was published in February which, whilst welcome, was inadequate as it only referred to the situation pertaining months after the breach. Further, despite many branches finding they have very large numbers of </w:t>
      </w:r>
      <w:r>
        <w:rPr>
          <w:noProof/>
        </w:rPr>
        <w:lastRenderedPageBreak/>
        <w:t>affected members, phrases such as ''certain members" (Annual Report) have been used, giving the impression that only a modest-sized group was affected.</w:t>
      </w:r>
    </w:p>
    <w:p w14:paraId="521C7EEE" w14:textId="77777777" w:rsidR="004B4C13" w:rsidRDefault="004B4C13" w:rsidP="004B4C13">
      <w:pPr>
        <w:rPr>
          <w:noProof/>
        </w:rPr>
      </w:pPr>
      <w:r>
        <w:rPr>
          <w:noProof/>
        </w:rPr>
        <w:t>Conference notes the Report's statement "none of the new third-party systems such as the CRM had been impacted and Microsoft systems were also unaffected", which implies that the data that was accessed may have been held in an uncontrolled and insecure manner outside the union's main systems.</w:t>
      </w:r>
    </w:p>
    <w:p w14:paraId="2A3E6414" w14:textId="77777777" w:rsidR="004B4C13" w:rsidRDefault="004B4C13" w:rsidP="004B4C13">
      <w:pPr>
        <w:rPr>
          <w:noProof/>
        </w:rPr>
      </w:pPr>
      <w:r>
        <w:rPr>
          <w:noProof/>
        </w:rPr>
        <w:t>Conference is also concerned at the delay (approaching four months) in reporting the breach to branches/members and notes with particular concern that the Annual Report states that identification of affected members did not begin until six weeks after the incident.</w:t>
      </w:r>
    </w:p>
    <w:p w14:paraId="36921128" w14:textId="77777777" w:rsidR="004B4C13" w:rsidRDefault="004B4C13" w:rsidP="004B4C13">
      <w:pPr>
        <w:rPr>
          <w:noProof/>
        </w:rPr>
      </w:pPr>
      <w:r>
        <w:rPr>
          <w:noProof/>
        </w:rPr>
        <w:t>Conference also notes the apparent deficiency in NEC governance and transparency on this breach, with no reference whatsoever to the breach in the open minutes of the four NEC minutes following the incident. Whilst certain aspects may have needed to be discussed in closed session the use of this should have been minimised and reference to it made in open minutes.</w:t>
      </w:r>
    </w:p>
    <w:p w14:paraId="1CA906B9" w14:textId="77777777" w:rsidR="004B4C13" w:rsidRDefault="004B4C13" w:rsidP="004B4C13">
      <w:pPr>
        <w:rPr>
          <w:noProof/>
        </w:rPr>
      </w:pPr>
      <w:r>
        <w:rPr>
          <w:noProof/>
        </w:rPr>
        <w:t>Conference instructs the NEC to:</w:t>
      </w:r>
    </w:p>
    <w:p w14:paraId="1B739CDC" w14:textId="77777777" w:rsidR="004B4C13" w:rsidRDefault="004B4C13" w:rsidP="004B4C13">
      <w:pPr>
        <w:rPr>
          <w:noProof/>
        </w:rPr>
      </w:pPr>
      <w:r>
        <w:rPr>
          <w:noProof/>
        </w:rPr>
        <w:t>1.</w:t>
      </w:r>
      <w:r>
        <w:rPr>
          <w:noProof/>
        </w:rPr>
        <w:tab/>
        <w:t>Publish to branches the approximate number of affected members.</w:t>
      </w:r>
    </w:p>
    <w:p w14:paraId="3D55597F" w14:textId="77777777" w:rsidR="004B4C13" w:rsidRDefault="004B4C13" w:rsidP="004B4C13">
      <w:pPr>
        <w:rPr>
          <w:noProof/>
        </w:rPr>
      </w:pPr>
      <w:r>
        <w:rPr>
          <w:noProof/>
        </w:rPr>
        <w:t>2.</w:t>
      </w:r>
      <w:r>
        <w:rPr>
          <w:noProof/>
        </w:rPr>
        <w:tab/>
        <w:t>Provide branches with an explanation of why identification of affected members did not commence immediately rather than until six weeks after the breach.</w:t>
      </w:r>
    </w:p>
    <w:p w14:paraId="0E57321C" w14:textId="77777777" w:rsidR="004B4C13" w:rsidRDefault="004B4C13" w:rsidP="004B4C13">
      <w:pPr>
        <w:rPr>
          <w:noProof/>
        </w:rPr>
      </w:pPr>
      <w:r>
        <w:rPr>
          <w:noProof/>
        </w:rPr>
        <w:t>3.</w:t>
      </w:r>
      <w:r>
        <w:rPr>
          <w:noProof/>
        </w:rPr>
        <w:tab/>
        <w:t>Provide branches with an explanation as to how a very significant amount of sensitive data came to be held, seemingly insecurely, outside the union's main systems.</w:t>
      </w:r>
    </w:p>
    <w:p w14:paraId="628A6645" w14:textId="0C9106E5" w:rsidR="004B4C13" w:rsidRDefault="004B4C13" w:rsidP="00990ABE">
      <w:pPr>
        <w:rPr>
          <w:noProof/>
        </w:rPr>
      </w:pPr>
      <w:r>
        <w:rPr>
          <w:noProof/>
        </w:rPr>
        <w:t>4.</w:t>
      </w:r>
      <w:r>
        <w:rPr>
          <w:noProof/>
        </w:rPr>
        <w:tab/>
        <w:t>Take a much more open approach with branches and members in the event of /any future cyber incident.</w:t>
      </w:r>
    </w:p>
    <w:p w14:paraId="7282414D" w14:textId="77777777" w:rsidR="004B4C13" w:rsidRDefault="004B4C13" w:rsidP="004B4C13">
      <w:pPr>
        <w:rPr>
          <w:i/>
          <w:iCs/>
        </w:rPr>
      </w:pPr>
      <w:r w:rsidRPr="00B54274">
        <w:rPr>
          <w:i/>
          <w:iCs/>
          <w:noProof/>
        </w:rPr>
        <w:t>Telecoms Branch</w:t>
      </w:r>
    </w:p>
    <w:p w14:paraId="0A1017D1" w14:textId="77777777" w:rsidR="004B4C13" w:rsidRDefault="004B4C13" w:rsidP="004B4C13">
      <w:pPr>
        <w:rPr>
          <w:b/>
          <w:bCs/>
        </w:rPr>
      </w:pPr>
      <w:r w:rsidRPr="00CF53F7">
        <w:rPr>
          <w:b/>
          <w:bCs/>
        </w:rPr>
        <w:t>SOC Out of Order reason</w:t>
      </w:r>
      <w:r>
        <w:rPr>
          <w:b/>
          <w:bCs/>
        </w:rPr>
        <w:t>:</w:t>
      </w:r>
    </w:p>
    <w:p w14:paraId="266E75AF" w14:textId="77777777" w:rsidR="004B4C13" w:rsidRDefault="004B4C13" w:rsidP="004B4C13">
      <w:pPr>
        <w:rPr>
          <w:noProof/>
        </w:rPr>
      </w:pPr>
      <w:r>
        <w:rPr>
          <w:noProof/>
        </w:rPr>
        <w:t>Cannot further instruct on a reference back and cannot add new business which the further instruction indicates.</w:t>
      </w:r>
    </w:p>
    <w:p w14:paraId="45A0C1B1" w14:textId="77777777" w:rsidR="004B4C13" w:rsidRPr="009C627A" w:rsidRDefault="004B4C13" w:rsidP="004B4C13">
      <w:pPr>
        <w:pStyle w:val="Referencebackheading"/>
      </w:pPr>
      <w:r w:rsidRPr="009C627A">
        <w:t xml:space="preserve">Reference Back </w:t>
      </w:r>
      <w:r w:rsidRPr="00B54274">
        <w:rPr>
          <w:noProof/>
        </w:rPr>
        <w:t>19</w:t>
      </w:r>
    </w:p>
    <w:p w14:paraId="43338F46" w14:textId="77777777" w:rsidR="004B4C13" w:rsidRDefault="004B4C13" w:rsidP="004B4C13">
      <w:pPr>
        <w:rPr>
          <w:b/>
          <w:bCs/>
        </w:rPr>
      </w:pPr>
      <w:r w:rsidRPr="00B54274">
        <w:rPr>
          <w:b/>
          <w:bCs/>
          <w:noProof/>
        </w:rPr>
        <w:t>Rejected (not appealed)</w:t>
      </w:r>
    </w:p>
    <w:p w14:paraId="2C0C4074" w14:textId="77777777" w:rsidR="004B4C13" w:rsidRPr="009C627A" w:rsidRDefault="004B4C13" w:rsidP="004B4C13">
      <w:pPr>
        <w:rPr>
          <w:b/>
          <w:bCs/>
        </w:rPr>
      </w:pPr>
      <w:r w:rsidRPr="00B54274">
        <w:rPr>
          <w:b/>
          <w:bCs/>
          <w:noProof/>
        </w:rPr>
        <w:t>Motion</w:t>
      </w:r>
      <w:r w:rsidRPr="009C627A">
        <w:rPr>
          <w:b/>
          <w:bCs/>
        </w:rPr>
        <w:t xml:space="preserve"> </w:t>
      </w:r>
      <w:r w:rsidRPr="00B54274">
        <w:rPr>
          <w:b/>
          <w:bCs/>
          <w:noProof/>
        </w:rPr>
        <w:t>125</w:t>
      </w:r>
    </w:p>
    <w:p w14:paraId="6D117BAD" w14:textId="77777777" w:rsidR="004B4C13" w:rsidRDefault="004B4C13" w:rsidP="004B4C13">
      <w:r>
        <w:rPr>
          <w:noProof/>
        </w:rPr>
        <w:t>Defending and Supporting Defence Sector Workers - ruled out of order/amendment</w:t>
      </w:r>
    </w:p>
    <w:p w14:paraId="52C29E5F" w14:textId="77777777" w:rsidR="004B4C13" w:rsidRDefault="004B4C13" w:rsidP="004B4C13">
      <w:r>
        <w:rPr>
          <w:noProof/>
        </w:rPr>
        <w:t>The paragraph is referred back because it has been deemed an incorrect instruction, we believe this is due to 'This motion calls for Prospect to' rather than 'This motion calls for Prospect NEC to'. Could this be amended and returned to motions for debate please.</w:t>
      </w:r>
    </w:p>
    <w:p w14:paraId="0F428C8A" w14:textId="77777777" w:rsidR="004B4C13" w:rsidRDefault="004B4C13" w:rsidP="004B4C13">
      <w:pPr>
        <w:rPr>
          <w:i/>
          <w:iCs/>
        </w:rPr>
      </w:pPr>
      <w:r w:rsidRPr="00B54274">
        <w:rPr>
          <w:i/>
          <w:iCs/>
          <w:noProof/>
        </w:rPr>
        <w:t>One MOD/01828/SC-MOD:UKStratCOm</w:t>
      </w:r>
    </w:p>
    <w:p w14:paraId="07163E70" w14:textId="77777777" w:rsidR="004B4C13" w:rsidRDefault="004B4C13" w:rsidP="004B4C13">
      <w:pPr>
        <w:rPr>
          <w:b/>
          <w:bCs/>
        </w:rPr>
      </w:pPr>
      <w:r w:rsidRPr="00CF53F7">
        <w:rPr>
          <w:b/>
          <w:bCs/>
        </w:rPr>
        <w:t>SOC Out of Order reason</w:t>
      </w:r>
      <w:r>
        <w:rPr>
          <w:b/>
          <w:bCs/>
        </w:rPr>
        <w:t>:</w:t>
      </w:r>
    </w:p>
    <w:p w14:paraId="7B65F9EB" w14:textId="77777777" w:rsidR="004B4C13" w:rsidRDefault="004B4C13" w:rsidP="004B4C13">
      <w:pPr>
        <w:rPr>
          <w:noProof/>
        </w:rPr>
      </w:pPr>
      <w:r>
        <w:rPr>
          <w:noProof/>
        </w:rPr>
        <w:t>As made clear in both the guidance and submission form a motion must read Conference Instructs the NEC…</w:t>
      </w:r>
    </w:p>
    <w:p w14:paraId="1231A529" w14:textId="77777777" w:rsidR="004B4C13" w:rsidRDefault="004B4C13" w:rsidP="004B4C13">
      <w:pPr>
        <w:rPr>
          <w:noProof/>
        </w:rPr>
      </w:pPr>
      <w:r>
        <w:rPr>
          <w:noProof/>
        </w:rPr>
        <w:t>It is important the instruction to the NEC is clear and correct as the NEC is the only body that can action the motions from conference. This was set out in Guidance on Writing a Motion for National Conference updated November 2025 and the video ‘How Prospect’s National Conference Works’ both of which can be found on the Prospect – https://union.prospect.org.uk/resource/how-conference-works.html</w:t>
      </w:r>
    </w:p>
    <w:p w14:paraId="2F474286" w14:textId="000CF439" w:rsidR="00B67D37" w:rsidRPr="00E43601" w:rsidRDefault="004B4C13" w:rsidP="00990ABE">
      <w:pPr>
        <w:rPr>
          <w:noProof/>
        </w:rPr>
      </w:pPr>
      <w:r>
        <w:rPr>
          <w:noProof/>
        </w:rPr>
        <w:t>No amendment to motions submitted are accepted. We note that you have an emergency motion covering similar ground.</w:t>
      </w:r>
    </w:p>
    <w:sectPr w:rsidR="00B67D37" w:rsidRPr="00E43601" w:rsidSect="00712D22">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20" w:footer="86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F1B5" w14:textId="77777777" w:rsidR="009D5D1E" w:rsidRDefault="009D5D1E">
      <w:r>
        <w:separator/>
      </w:r>
    </w:p>
  </w:endnote>
  <w:endnote w:type="continuationSeparator" w:id="0">
    <w:p w14:paraId="734FE797" w14:textId="77777777" w:rsidR="009D5D1E" w:rsidRDefault="009D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F33E"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5FA655DB"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CB47" w14:textId="705C477E" w:rsidR="001918F6" w:rsidRDefault="00712D22" w:rsidP="00712D22">
    <w:pPr>
      <w:pStyle w:val="Footer"/>
      <w:tabs>
        <w:tab w:val="right" w:pos="9071"/>
      </w:tabs>
      <w:spacing w:before="360"/>
    </w:pPr>
    <w:r>
      <w:rPr>
        <w:noProof/>
      </w:rPr>
      <mc:AlternateContent>
        <mc:Choice Requires="wps">
          <w:drawing>
            <wp:anchor distT="0" distB="0" distL="114300" distR="114300" simplePos="0" relativeHeight="251659264" behindDoc="0" locked="0" layoutInCell="1" allowOverlap="1" wp14:anchorId="605F7D98" wp14:editId="4A620869">
              <wp:simplePos x="0" y="0"/>
              <wp:positionH relativeFrom="column">
                <wp:posOffset>-3810</wp:posOffset>
              </wp:positionH>
              <wp:positionV relativeFrom="paragraph">
                <wp:posOffset>154305</wp:posOffset>
              </wp:positionV>
              <wp:extent cx="5762625" cy="0"/>
              <wp:effectExtent l="0" t="12700" r="15875" b="12700"/>
              <wp:wrapNone/>
              <wp:docPr id="1424616206"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accent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74009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2.15pt" to="453.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" strokecolor="#078375 [3207]" strokeweight="1.5pt">
              <v:stroke joinstyle="miter"/>
            </v:line>
          </w:pict>
        </mc:Fallback>
      </mc:AlternateContent>
    </w:r>
    <w:r w:rsidR="00E43601">
      <w:t>SOC2026-02</w:t>
    </w:r>
    <w:r w:rsidRPr="00762088">
      <w:tab/>
      <w:t xml:space="preserve">Page </w:t>
    </w: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EDBA" w14:textId="085BD1BA" w:rsidR="00712D22" w:rsidRDefault="00712D22" w:rsidP="00712D22">
    <w:pPr>
      <w:pStyle w:val="Footer"/>
      <w:tabs>
        <w:tab w:val="right" w:pos="9071"/>
      </w:tabs>
      <w:spacing w:before="360"/>
    </w:pPr>
    <w:r>
      <w:rPr>
        <w:noProof/>
      </w:rPr>
      <mc:AlternateContent>
        <mc:Choice Requires="wps">
          <w:drawing>
            <wp:anchor distT="0" distB="0" distL="114300" distR="114300" simplePos="0" relativeHeight="251661312" behindDoc="0" locked="0" layoutInCell="1" allowOverlap="1" wp14:anchorId="2DE975F8" wp14:editId="705F6C0E">
              <wp:simplePos x="0" y="0"/>
              <wp:positionH relativeFrom="column">
                <wp:posOffset>-3810</wp:posOffset>
              </wp:positionH>
              <wp:positionV relativeFrom="paragraph">
                <wp:posOffset>154305</wp:posOffset>
              </wp:positionV>
              <wp:extent cx="5762625" cy="0"/>
              <wp:effectExtent l="0" t="12700" r="15875" b="12700"/>
              <wp:wrapNone/>
              <wp:docPr id="833420612"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accent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8DD9E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12.15pt" to="453.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" strokecolor="#078375 [3207]" strokeweight="1.5pt">
              <v:stroke joinstyle="miter"/>
            </v:line>
          </w:pict>
        </mc:Fallback>
      </mc:AlternateContent>
    </w:r>
    <w:r w:rsidR="000102A5" w:rsidRPr="000102A5">
      <w:t xml:space="preserve"> </w:t>
    </w:r>
    <w:r w:rsidR="000102A5">
      <w:t>SOC2026-02</w:t>
    </w:r>
    <w:r w:rsidRPr="00762088">
      <w:tab/>
      <w:t xml:space="preserve">Page </w:t>
    </w:r>
    <w:r>
      <w:fldChar w:fldCharType="begin"/>
    </w:r>
    <w:r>
      <w:instrText xml:space="preserve"> PAGE   \* MERGEFORMAT </w:instrText>
    </w:r>
    <w:r>
      <w:fldChar w:fldCharType="separate"/>
    </w:r>
    <w: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8C23" w14:textId="77777777" w:rsidR="009D5D1E" w:rsidRDefault="009D5D1E">
      <w:r>
        <w:separator/>
      </w:r>
    </w:p>
  </w:footnote>
  <w:footnote w:type="continuationSeparator" w:id="0">
    <w:p w14:paraId="64136508" w14:textId="77777777" w:rsidR="009D5D1E" w:rsidRDefault="009D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8C44" w14:textId="77777777" w:rsidR="00E43601" w:rsidRDefault="00E43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1A31" w14:textId="77777777" w:rsidR="00E43601" w:rsidRDefault="00E43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38B3" w14:textId="77777777" w:rsidR="00E43601" w:rsidRDefault="00E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2ADB56B6"/>
    <w:multiLevelType w:val="hybridMultilevel"/>
    <w:tmpl w:val="474C8414"/>
    <w:lvl w:ilvl="0" w:tplc="51FC96FC">
      <w:start w:val="3"/>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3A9D5FA0"/>
    <w:multiLevelType w:val="hybridMultilevel"/>
    <w:tmpl w:val="B12EDC7C"/>
    <w:lvl w:ilvl="0" w:tplc="51FC96FC">
      <w:start w:val="1"/>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724067544">
    <w:abstractNumId w:val="4"/>
  </w:num>
  <w:num w:numId="2" w16cid:durableId="883517634">
    <w:abstractNumId w:val="0"/>
  </w:num>
  <w:num w:numId="3" w16cid:durableId="1659114115">
    <w:abstractNumId w:val="2"/>
  </w:num>
  <w:num w:numId="4" w16cid:durableId="316883370">
    <w:abstractNumId w:val="6"/>
  </w:num>
  <w:num w:numId="5" w16cid:durableId="1952202532">
    <w:abstractNumId w:val="7"/>
  </w:num>
  <w:num w:numId="6" w16cid:durableId="1291596431">
    <w:abstractNumId w:val="5"/>
  </w:num>
  <w:num w:numId="7" w16cid:durableId="1678775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202315">
    <w:abstractNumId w:val="8"/>
  </w:num>
  <w:num w:numId="9" w16cid:durableId="1169637701">
    <w:abstractNumId w:val="1"/>
  </w:num>
  <w:num w:numId="10" w16cid:durableId="15052402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01"/>
    <w:rsid w:val="000102A5"/>
    <w:rsid w:val="000134EA"/>
    <w:rsid w:val="00025ECB"/>
    <w:rsid w:val="00032DF0"/>
    <w:rsid w:val="00034577"/>
    <w:rsid w:val="00054E14"/>
    <w:rsid w:val="0006388C"/>
    <w:rsid w:val="00064583"/>
    <w:rsid w:val="000702B4"/>
    <w:rsid w:val="000B5E8C"/>
    <w:rsid w:val="000D2062"/>
    <w:rsid w:val="000E3910"/>
    <w:rsid w:val="000E7EF3"/>
    <w:rsid w:val="001228D8"/>
    <w:rsid w:val="00127AFC"/>
    <w:rsid w:val="00132547"/>
    <w:rsid w:val="00135A5D"/>
    <w:rsid w:val="00135D64"/>
    <w:rsid w:val="001465A5"/>
    <w:rsid w:val="001520AF"/>
    <w:rsid w:val="001664C4"/>
    <w:rsid w:val="00167C0A"/>
    <w:rsid w:val="00183D96"/>
    <w:rsid w:val="00184B01"/>
    <w:rsid w:val="001918F6"/>
    <w:rsid w:val="001B1121"/>
    <w:rsid w:val="001C1C80"/>
    <w:rsid w:val="001F5DBE"/>
    <w:rsid w:val="00200C94"/>
    <w:rsid w:val="00204857"/>
    <w:rsid w:val="002133A7"/>
    <w:rsid w:val="00227700"/>
    <w:rsid w:val="002426EC"/>
    <w:rsid w:val="00244EF3"/>
    <w:rsid w:val="00257E14"/>
    <w:rsid w:val="00262F35"/>
    <w:rsid w:val="00266793"/>
    <w:rsid w:val="0027502C"/>
    <w:rsid w:val="00284C89"/>
    <w:rsid w:val="00286339"/>
    <w:rsid w:val="002A75F4"/>
    <w:rsid w:val="002B48FC"/>
    <w:rsid w:val="002B4D5E"/>
    <w:rsid w:val="002C21B7"/>
    <w:rsid w:val="002D626B"/>
    <w:rsid w:val="002E2A35"/>
    <w:rsid w:val="002E64B0"/>
    <w:rsid w:val="002E665F"/>
    <w:rsid w:val="00311400"/>
    <w:rsid w:val="00324A97"/>
    <w:rsid w:val="003425DB"/>
    <w:rsid w:val="00377D57"/>
    <w:rsid w:val="00383C52"/>
    <w:rsid w:val="00396D1F"/>
    <w:rsid w:val="003A23CA"/>
    <w:rsid w:val="003B2026"/>
    <w:rsid w:val="003B2FE9"/>
    <w:rsid w:val="003C3164"/>
    <w:rsid w:val="003C44EC"/>
    <w:rsid w:val="003D1878"/>
    <w:rsid w:val="004273F0"/>
    <w:rsid w:val="00433C71"/>
    <w:rsid w:val="00460EFB"/>
    <w:rsid w:val="0047381D"/>
    <w:rsid w:val="00481371"/>
    <w:rsid w:val="004915D6"/>
    <w:rsid w:val="004B4C13"/>
    <w:rsid w:val="004C6FA2"/>
    <w:rsid w:val="004E2984"/>
    <w:rsid w:val="004E66EB"/>
    <w:rsid w:val="004E784A"/>
    <w:rsid w:val="004F50E8"/>
    <w:rsid w:val="004F7D04"/>
    <w:rsid w:val="005202A9"/>
    <w:rsid w:val="00522555"/>
    <w:rsid w:val="005225D5"/>
    <w:rsid w:val="005236D6"/>
    <w:rsid w:val="005312F6"/>
    <w:rsid w:val="005825A2"/>
    <w:rsid w:val="00591757"/>
    <w:rsid w:val="00592F8D"/>
    <w:rsid w:val="005938CE"/>
    <w:rsid w:val="005A7A9E"/>
    <w:rsid w:val="005B73B8"/>
    <w:rsid w:val="005C22DE"/>
    <w:rsid w:val="005C4DE5"/>
    <w:rsid w:val="005C670E"/>
    <w:rsid w:val="005C7169"/>
    <w:rsid w:val="00627EB0"/>
    <w:rsid w:val="006404CE"/>
    <w:rsid w:val="00643A7A"/>
    <w:rsid w:val="00661741"/>
    <w:rsid w:val="00662171"/>
    <w:rsid w:val="00667E2B"/>
    <w:rsid w:val="00671742"/>
    <w:rsid w:val="0067785B"/>
    <w:rsid w:val="006951F6"/>
    <w:rsid w:val="0069744C"/>
    <w:rsid w:val="006A2192"/>
    <w:rsid w:val="006B019D"/>
    <w:rsid w:val="006C1264"/>
    <w:rsid w:val="006C7C77"/>
    <w:rsid w:val="006D3043"/>
    <w:rsid w:val="006E201B"/>
    <w:rsid w:val="006F1FD0"/>
    <w:rsid w:val="007067D8"/>
    <w:rsid w:val="007100E9"/>
    <w:rsid w:val="00712D22"/>
    <w:rsid w:val="007328F4"/>
    <w:rsid w:val="00752F15"/>
    <w:rsid w:val="0077037F"/>
    <w:rsid w:val="00771506"/>
    <w:rsid w:val="007840E4"/>
    <w:rsid w:val="007C56FC"/>
    <w:rsid w:val="007D5AE7"/>
    <w:rsid w:val="008118FD"/>
    <w:rsid w:val="00814FA2"/>
    <w:rsid w:val="00824A64"/>
    <w:rsid w:val="00867417"/>
    <w:rsid w:val="0087359A"/>
    <w:rsid w:val="00885662"/>
    <w:rsid w:val="0089336B"/>
    <w:rsid w:val="008A0FA5"/>
    <w:rsid w:val="008B0412"/>
    <w:rsid w:val="008B50D5"/>
    <w:rsid w:val="009170A8"/>
    <w:rsid w:val="009233FF"/>
    <w:rsid w:val="00927EAC"/>
    <w:rsid w:val="00936E9C"/>
    <w:rsid w:val="009637B8"/>
    <w:rsid w:val="00974FEA"/>
    <w:rsid w:val="00980387"/>
    <w:rsid w:val="009862AA"/>
    <w:rsid w:val="00990ABE"/>
    <w:rsid w:val="009965AB"/>
    <w:rsid w:val="009A14BE"/>
    <w:rsid w:val="009A4834"/>
    <w:rsid w:val="009A4F5B"/>
    <w:rsid w:val="009A6322"/>
    <w:rsid w:val="009C3056"/>
    <w:rsid w:val="009C3DAC"/>
    <w:rsid w:val="009D0598"/>
    <w:rsid w:val="009D5D1E"/>
    <w:rsid w:val="009F6ADB"/>
    <w:rsid w:val="00A00624"/>
    <w:rsid w:val="00A21F38"/>
    <w:rsid w:val="00A3309C"/>
    <w:rsid w:val="00A33511"/>
    <w:rsid w:val="00A561B5"/>
    <w:rsid w:val="00A95F21"/>
    <w:rsid w:val="00AB23AC"/>
    <w:rsid w:val="00AE5837"/>
    <w:rsid w:val="00AE7A80"/>
    <w:rsid w:val="00AF5642"/>
    <w:rsid w:val="00B11709"/>
    <w:rsid w:val="00B13D63"/>
    <w:rsid w:val="00B24081"/>
    <w:rsid w:val="00B4255A"/>
    <w:rsid w:val="00B574AB"/>
    <w:rsid w:val="00B574D2"/>
    <w:rsid w:val="00B67D37"/>
    <w:rsid w:val="00B71536"/>
    <w:rsid w:val="00B72873"/>
    <w:rsid w:val="00B828F4"/>
    <w:rsid w:val="00B90556"/>
    <w:rsid w:val="00B90BCB"/>
    <w:rsid w:val="00BA5B25"/>
    <w:rsid w:val="00BC025E"/>
    <w:rsid w:val="00BC1D2B"/>
    <w:rsid w:val="00BE5E1E"/>
    <w:rsid w:val="00BF6A25"/>
    <w:rsid w:val="00C01C97"/>
    <w:rsid w:val="00C03233"/>
    <w:rsid w:val="00C1461C"/>
    <w:rsid w:val="00C21DAF"/>
    <w:rsid w:val="00C248CE"/>
    <w:rsid w:val="00C448FC"/>
    <w:rsid w:val="00C545C7"/>
    <w:rsid w:val="00C57595"/>
    <w:rsid w:val="00C84201"/>
    <w:rsid w:val="00C94DA1"/>
    <w:rsid w:val="00CA32DD"/>
    <w:rsid w:val="00CD1DF7"/>
    <w:rsid w:val="00CD4661"/>
    <w:rsid w:val="00CE4562"/>
    <w:rsid w:val="00CE6316"/>
    <w:rsid w:val="00CF3D14"/>
    <w:rsid w:val="00D37FEC"/>
    <w:rsid w:val="00D601F7"/>
    <w:rsid w:val="00D65EEF"/>
    <w:rsid w:val="00D67E57"/>
    <w:rsid w:val="00D71F11"/>
    <w:rsid w:val="00D73C7C"/>
    <w:rsid w:val="00D808BE"/>
    <w:rsid w:val="00D90519"/>
    <w:rsid w:val="00DA60C0"/>
    <w:rsid w:val="00DB1222"/>
    <w:rsid w:val="00DE23D0"/>
    <w:rsid w:val="00E06306"/>
    <w:rsid w:val="00E117CD"/>
    <w:rsid w:val="00E12B7C"/>
    <w:rsid w:val="00E252DF"/>
    <w:rsid w:val="00E34C55"/>
    <w:rsid w:val="00E43601"/>
    <w:rsid w:val="00E45D5F"/>
    <w:rsid w:val="00E515D7"/>
    <w:rsid w:val="00E535D9"/>
    <w:rsid w:val="00E666DA"/>
    <w:rsid w:val="00E667A2"/>
    <w:rsid w:val="00E75683"/>
    <w:rsid w:val="00E84ACD"/>
    <w:rsid w:val="00E86BE9"/>
    <w:rsid w:val="00EA4E0B"/>
    <w:rsid w:val="00EA5F22"/>
    <w:rsid w:val="00EB2787"/>
    <w:rsid w:val="00EC3171"/>
    <w:rsid w:val="00EC6AE1"/>
    <w:rsid w:val="00EC73EB"/>
    <w:rsid w:val="00EE572E"/>
    <w:rsid w:val="00EF45B7"/>
    <w:rsid w:val="00F0063B"/>
    <w:rsid w:val="00F04FC4"/>
    <w:rsid w:val="00F12E1F"/>
    <w:rsid w:val="00F266D4"/>
    <w:rsid w:val="00F331AB"/>
    <w:rsid w:val="00F40DA3"/>
    <w:rsid w:val="00F5724F"/>
    <w:rsid w:val="00F642A0"/>
    <w:rsid w:val="00F70D9F"/>
    <w:rsid w:val="00F723AA"/>
    <w:rsid w:val="00F824A1"/>
    <w:rsid w:val="00F83201"/>
    <w:rsid w:val="00F845A1"/>
    <w:rsid w:val="00FA4441"/>
    <w:rsid w:val="00FB0DAC"/>
    <w:rsid w:val="00FB108C"/>
    <w:rsid w:val="00FC4882"/>
    <w:rsid w:val="00FD5D02"/>
    <w:rsid w:val="00FE2582"/>
    <w:rsid w:val="00FE6B48"/>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225CF"/>
  <w15:chartTrackingRefBased/>
  <w15:docId w15:val="{F9F3A255-11BD-4716-B86A-8366FEE0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kern w:val="2"/>
        <w:sz w:val="21"/>
        <w:szCs w:val="21"/>
        <w:lang w:val="en-GB" w:eastAsia="en-GB" w:bidi="ar-SA"/>
        <w14:ligatures w14:val="standardContextual"/>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EF"/>
    <w:pPr>
      <w:spacing w:before="120" w:after="0" w:line="228"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paragraph" w:styleId="Heading6">
    <w:name w:val="heading 6"/>
    <w:basedOn w:val="Normal"/>
    <w:next w:val="Normal"/>
    <w:link w:val="Heading6Char"/>
    <w:uiPriority w:val="9"/>
    <w:semiHidden/>
    <w:rsid w:val="00CE63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63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6316"/>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6316"/>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pPr>
  </w:style>
  <w:style w:type="paragraph" w:styleId="ListBullet3">
    <w:name w:val="List Bullet 3"/>
    <w:basedOn w:val="Normal"/>
    <w:uiPriority w:val="99"/>
    <w:semiHidden/>
    <w:rsid w:val="000E7EF3"/>
    <w:pPr>
      <w:numPr>
        <w:ilvl w:val="2"/>
        <w:numId w:val="3"/>
      </w:numPr>
      <w:tabs>
        <w:tab w:val="left" w:pos="1021"/>
      </w:tabs>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pPr>
  </w:style>
  <w:style w:type="paragraph" w:styleId="ListNumber2">
    <w:name w:val="List Number 2"/>
    <w:basedOn w:val="Normal"/>
    <w:uiPriority w:val="99"/>
    <w:semiHidden/>
    <w:rsid w:val="000E7EF3"/>
    <w:pPr>
      <w:numPr>
        <w:ilvl w:val="1"/>
        <w:numId w:val="2"/>
      </w:numPr>
      <w:tabs>
        <w:tab w:val="left" w:pos="680"/>
        <w:tab w:val="left" w:pos="1021"/>
      </w:tabs>
    </w:pPr>
  </w:style>
  <w:style w:type="paragraph" w:styleId="ListNumber3">
    <w:name w:val="List Number 3"/>
    <w:basedOn w:val="Normal"/>
    <w:uiPriority w:val="99"/>
    <w:semiHidden/>
    <w:rsid w:val="000E7EF3"/>
    <w:pPr>
      <w:numPr>
        <w:ilvl w:val="2"/>
        <w:numId w:val="2"/>
      </w:numPr>
      <w:tabs>
        <w:tab w:val="left" w:pos="1021"/>
        <w:tab w:val="left" w:pos="1361"/>
      </w:tabs>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qFormat/>
    <w:rsid w:val="005312F6"/>
    <w:pPr>
      <w:tabs>
        <w:tab w:val="left" w:pos="454"/>
      </w:tabs>
      <w:spacing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C248CE"/>
    <w:rPr>
      <w:color w:val="078375" w:themeColor="accent4"/>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qFormat/>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CE63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63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63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63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CE631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E63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3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CE63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316"/>
    <w:rPr>
      <w:i/>
      <w:iCs/>
      <w:color w:val="404040" w:themeColor="text1" w:themeTint="BF"/>
    </w:rPr>
  </w:style>
  <w:style w:type="character" w:styleId="IntenseEmphasis">
    <w:name w:val="Intense Emphasis"/>
    <w:basedOn w:val="DefaultParagraphFont"/>
    <w:uiPriority w:val="21"/>
    <w:rsid w:val="00CE6316"/>
    <w:rPr>
      <w:i/>
      <w:iCs/>
      <w:color w:val="9D0054" w:themeColor="accent1" w:themeShade="BF"/>
    </w:rPr>
  </w:style>
  <w:style w:type="paragraph" w:styleId="IntenseQuote">
    <w:name w:val="Intense Quote"/>
    <w:basedOn w:val="Normal"/>
    <w:next w:val="Normal"/>
    <w:link w:val="IntenseQuoteChar"/>
    <w:uiPriority w:val="30"/>
    <w:rsid w:val="00CE6316"/>
    <w:pPr>
      <w:pBdr>
        <w:top w:val="single" w:sz="4" w:space="10" w:color="9D0054" w:themeColor="accent1" w:themeShade="BF"/>
        <w:bottom w:val="single" w:sz="4" w:space="10" w:color="9D0054" w:themeColor="accent1" w:themeShade="BF"/>
      </w:pBdr>
      <w:spacing w:before="360" w:after="360"/>
      <w:ind w:left="864" w:right="864"/>
      <w:jc w:val="center"/>
    </w:pPr>
    <w:rPr>
      <w:i/>
      <w:iCs/>
      <w:color w:val="9D0054" w:themeColor="accent1" w:themeShade="BF"/>
    </w:rPr>
  </w:style>
  <w:style w:type="character" w:customStyle="1" w:styleId="IntenseQuoteChar">
    <w:name w:val="Intense Quote Char"/>
    <w:basedOn w:val="DefaultParagraphFont"/>
    <w:link w:val="IntenseQuote"/>
    <w:uiPriority w:val="30"/>
    <w:rsid w:val="00CE6316"/>
    <w:rPr>
      <w:i/>
      <w:iCs/>
      <w:color w:val="9D0054" w:themeColor="accent1" w:themeShade="BF"/>
    </w:rPr>
  </w:style>
  <w:style w:type="character" w:styleId="IntenseReference">
    <w:name w:val="Intense Reference"/>
    <w:basedOn w:val="DefaultParagraphFont"/>
    <w:uiPriority w:val="32"/>
    <w:rsid w:val="00CE6316"/>
    <w:rPr>
      <w:b/>
      <w:bCs/>
      <w:smallCaps/>
      <w:color w:val="9D0054" w:themeColor="accent1" w:themeShade="BF"/>
      <w:spacing w:val="5"/>
    </w:rPr>
  </w:style>
  <w:style w:type="paragraph" w:customStyle="1" w:styleId="Quote2025">
    <w:name w:val="Quote 2025"/>
    <w:basedOn w:val="Normal"/>
    <w:qFormat/>
    <w:rsid w:val="00127AFC"/>
    <w:pPr>
      <w:spacing w:before="0"/>
      <w:ind w:left="1440" w:right="987"/>
    </w:pPr>
    <w:rPr>
      <w:rFonts w:cs="Arial"/>
      <w:i/>
      <w:iCs/>
      <w:sz w:val="20"/>
      <w:szCs w:val="20"/>
    </w:rPr>
  </w:style>
  <w:style w:type="paragraph" w:customStyle="1" w:styleId="Quoteauthor2025">
    <w:name w:val="Quote author 2025"/>
    <w:basedOn w:val="Normal"/>
    <w:qFormat/>
    <w:rsid w:val="00127AFC"/>
    <w:pPr>
      <w:spacing w:before="80" w:after="180"/>
      <w:ind w:left="1440" w:right="987"/>
    </w:pPr>
    <w:rPr>
      <w:rFonts w:cs="Arial"/>
      <w:b/>
      <w:bCs/>
      <w:i/>
      <w:iCs/>
      <w:sz w:val="20"/>
      <w:szCs w:val="20"/>
    </w:rPr>
  </w:style>
  <w:style w:type="paragraph" w:customStyle="1" w:styleId="BriefingheadingWOC">
    <w:name w:val="Briefing heading WOC"/>
    <w:basedOn w:val="Headingultralarge"/>
    <w:qFormat/>
    <w:rsid w:val="00B71536"/>
    <w:pPr>
      <w:ind w:left="1560" w:right="1232"/>
    </w:pPr>
    <w:rPr>
      <w:b/>
      <w:bCs/>
      <w:color w:val="FFFFFF" w:themeColor="background1"/>
      <w:sz w:val="56"/>
      <w:szCs w:val="56"/>
    </w:rPr>
  </w:style>
  <w:style w:type="paragraph" w:styleId="TOCHeading">
    <w:name w:val="TOC Heading"/>
    <w:basedOn w:val="Heading1"/>
    <w:next w:val="Normal"/>
    <w:uiPriority w:val="39"/>
    <w:semiHidden/>
    <w:unhideWhenUsed/>
    <w:qFormat/>
    <w:rsid w:val="00396D1F"/>
    <w:pPr>
      <w:keepLines/>
      <w:numPr>
        <w:numId w:val="0"/>
      </w:numPr>
      <w:spacing w:before="240" w:after="0"/>
      <w:outlineLvl w:val="9"/>
    </w:pPr>
    <w:rPr>
      <w:rFonts w:eastAsiaTheme="majorEastAsia" w:cstheme="majorBidi"/>
      <w:color w:val="000000" w:themeColor="text1"/>
      <w:kern w:val="0"/>
      <w:sz w:val="32"/>
      <w:szCs w:val="32"/>
      <w:lang w:eastAsia="en-GB"/>
      <w14:ligatures w14:val="none"/>
    </w:rPr>
  </w:style>
  <w:style w:type="paragraph" w:customStyle="1" w:styleId="Referencebackheading">
    <w:name w:val="Reference back heading"/>
    <w:basedOn w:val="Heading3"/>
    <w:link w:val="ReferencebackheadingChar"/>
    <w:qFormat/>
    <w:rsid w:val="00E43601"/>
    <w:pPr>
      <w:pBdr>
        <w:top w:val="single" w:sz="4" w:space="12" w:color="auto"/>
      </w:pBdr>
      <w:spacing w:before="320"/>
    </w:pPr>
  </w:style>
  <w:style w:type="character" w:customStyle="1" w:styleId="ReferencebackheadingChar">
    <w:name w:val="Reference back heading Char"/>
    <w:basedOn w:val="Heading3Char"/>
    <w:link w:val="Referencebackheading"/>
    <w:rsid w:val="00E43601"/>
    <w:rPr>
      <w:rFonts w:ascii="Arial" w:hAnsi="Arial" w:cs="Arial"/>
      <w:b/>
      <w:kern w:val="32"/>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prospectorguk.sharepoint.com/sites/OrganizationAssets/OfficeTemplates/Briefing%20&#8211;%20short%20Prospect.dotx" TargetMode="External"/></Relationships>
</file>

<file path=word/theme/theme1.xml><?xml version="1.0" encoding="utf-8"?>
<a:theme xmlns:a="http://schemas.openxmlformats.org/drawingml/2006/main" name="Office Theme">
  <a:themeElements>
    <a:clrScheme name="Prospect">
      <a:dk1>
        <a:srgbClr val="000000"/>
      </a:dk1>
      <a:lt1>
        <a:srgbClr val="FFFFFF"/>
      </a:lt1>
      <a:dk2>
        <a:srgbClr val="000000"/>
      </a:dk2>
      <a:lt2>
        <a:srgbClr val="EBEBEB"/>
      </a:lt2>
      <a:accent1>
        <a:srgbClr val="D20071"/>
      </a:accent1>
      <a:accent2>
        <a:srgbClr val="F1861C"/>
      </a:accent2>
      <a:accent3>
        <a:srgbClr val="FFCD00"/>
      </a:accent3>
      <a:accent4>
        <a:srgbClr val="078375"/>
      </a:accent4>
      <a:accent5>
        <a:srgbClr val="009D66"/>
      </a:accent5>
      <a:accent6>
        <a:srgbClr val="F299C1"/>
      </a:accent6>
      <a:hlink>
        <a:srgbClr val="FA9C39"/>
      </a:hlink>
      <a:folHlink>
        <a:srgbClr val="D20071"/>
      </a:folHlink>
    </a:clrScheme>
    <a:fontScheme name="Prospec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31BB8B2100448B2E36A9A1F81FD3C" ma:contentTypeVersion="11" ma:contentTypeDescription="Create a new document." ma:contentTypeScope="" ma:versionID="c373b5ded73e131962fad4e37285ef43">
  <xsd:schema xmlns:xsd="http://www.w3.org/2001/XMLSchema" xmlns:xs="http://www.w3.org/2001/XMLSchema" xmlns:p="http://schemas.microsoft.com/office/2006/metadata/properties" xmlns:ns2="a143c7ab-4f0b-44d8-a0fa-750085792bd4" xmlns:ns3="8b4a19b0-63fa-4fd6-95d8-eba79f21f341" targetNamespace="http://schemas.microsoft.com/office/2006/metadata/properties" ma:root="true" ma:fieldsID="d0884ae0085c25b041f7e0cd0ac53839" ns2:_="" ns3:_="">
    <xsd:import namespace="a143c7ab-4f0b-44d8-a0fa-750085792bd4"/>
    <xsd:import namespace="8b4a19b0-63fa-4fd6-95d8-eba79f21f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3c7ab-4f0b-44d8-a0fa-750085792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a19b0-63fa-4fd6-95d8-eba79f21f3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ff5950-9657-43a2-966d-1844b149d949}" ma:internalName="TaxCatchAll" ma:showField="CatchAllData" ma:web="8b4a19b0-63fa-4fd6-95d8-eba79f21f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a19b0-63fa-4fd6-95d8-eba79f21f341" xsi:nil="true"/>
    <lcf76f155ced4ddcb4097134ff3c332f xmlns="a143c7ab-4f0b-44d8-a0fa-750085792b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FED82-2C31-46F0-AE80-04D420CE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3c7ab-4f0b-44d8-a0fa-750085792bd4"/>
    <ds:schemaRef ds:uri="8b4a19b0-63fa-4fd6-95d8-eba79f21f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E7CD6-8236-485E-BEDC-289122EAF1E7}">
  <ds:schemaRefs>
    <ds:schemaRef ds:uri="http://schemas.microsoft.com/office/2006/metadata/properties"/>
    <ds:schemaRef ds:uri="http://schemas.microsoft.com/office/infopath/2007/PartnerControls"/>
    <ds:schemaRef ds:uri="8b4a19b0-63fa-4fd6-95d8-eba79f21f341"/>
    <ds:schemaRef ds:uri="a143c7ab-4f0b-44d8-a0fa-750085792bd4"/>
  </ds:schemaRefs>
</ds:datastoreItem>
</file>

<file path=customXml/itemProps3.xml><?xml version="1.0" encoding="utf-8"?>
<ds:datastoreItem xmlns:ds="http://schemas.openxmlformats.org/officeDocument/2006/customXml" ds:itemID="{5211541C-34FC-4E47-A40B-1BC022BB5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Briefing%20–%20short%20Prospect</Template>
  <TotalTime>0</TotalTime>
  <Pages>14</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vt:lpstr>
    </vt:vector>
  </TitlesOfParts>
  <Manager/>
  <Company/>
  <LinksUpToDate>false</LinksUpToDate>
  <CharactersWithSpaces>37082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Crosby</dc:creator>
  <cp:keywords/>
  <dc:description/>
  <cp:lastModifiedBy>Paula Lamont</cp:lastModifiedBy>
  <cp:revision>9</cp:revision>
  <cp:lastPrinted>2026-06-07T07:25:00Z</cp:lastPrinted>
  <dcterms:created xsi:type="dcterms:W3CDTF">2026-06-07T07:33:00Z</dcterms:created>
  <dcterms:modified xsi:type="dcterms:W3CDTF">2026-06-07T07:43:00Z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0x01010049431BB8B2100448B2E36A9A1F81FD3C</vt:lpwstr>
  </property>
  <property fmtid="{D5CDD505-2E9C-101B-9397-08002B2CF9AE}" pid="3" name="MediaServiceImageTags">
    <vt:lpwstr/>
  </property>
</Properties>
</file>