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DF3" w14:textId="77777777" w:rsidR="00193849" w:rsidRDefault="00193849" w:rsidP="009D1B93">
      <w:pPr>
        <w:rPr>
          <w:noProof/>
        </w:rPr>
      </w:pPr>
    </w:p>
    <w:p w14:paraId="1AFE5B65" w14:textId="77777777" w:rsidR="00193849" w:rsidRDefault="00193849" w:rsidP="009D1B93"/>
    <w:p w14:paraId="2B04FC8C" w14:textId="77777777" w:rsidR="00193849" w:rsidRDefault="00193849" w:rsidP="009D1B93"/>
    <w:p w14:paraId="01F9A7DF" w14:textId="4EF4A90B" w:rsidR="00193849" w:rsidRDefault="00193849" w:rsidP="00366762"/>
    <w:p w14:paraId="1B05F46C" w14:textId="7E17C238" w:rsidR="00497C81" w:rsidRPr="00404C06" w:rsidRDefault="001C217B" w:rsidP="00362F62">
      <w:pPr>
        <w:spacing w:before="0"/>
      </w:pPr>
      <w:r>
        <w:t>David Vineall</w:t>
      </w:r>
    </w:p>
    <w:p w14:paraId="47C30FDE" w14:textId="08447621" w:rsidR="005909F3" w:rsidRPr="005909F3" w:rsidRDefault="001C217B" w:rsidP="005909F3">
      <w:pPr>
        <w:spacing w:before="0"/>
      </w:pPr>
      <w:r>
        <w:t>Group Chief People Officer</w:t>
      </w:r>
    </w:p>
    <w:p w14:paraId="385F2EF8" w14:textId="53FB83E6" w:rsidR="00DE7779" w:rsidRPr="004F2E0F" w:rsidRDefault="001C217B" w:rsidP="001C217B">
      <w:pPr>
        <w:spacing w:before="0"/>
      </w:pPr>
      <w:r>
        <w:t>Nuclear Decommissioning Authority</w:t>
      </w:r>
      <w:r w:rsidRPr="001C217B">
        <w:br/>
        <w:t>​​​​​​​157-197 Buckingham Palace Rd</w:t>
      </w:r>
      <w:r w:rsidRPr="001C217B">
        <w:br/>
        <w:t>London</w:t>
      </w:r>
      <w:r w:rsidRPr="001C217B">
        <w:br/>
        <w:t>SW1W 9SP</w:t>
      </w:r>
    </w:p>
    <w:p w14:paraId="0F3418E2" w14:textId="6C27214A" w:rsidR="00DE7779" w:rsidRPr="00612DF2" w:rsidRDefault="00DE7779" w:rsidP="00362F62">
      <w:pPr>
        <w:spacing w:before="0"/>
        <w:rPr>
          <w:lang w:val="pt-PT"/>
        </w:rPr>
      </w:pPr>
      <w:r w:rsidRPr="00612DF2">
        <w:rPr>
          <w:lang w:val="pt-PT"/>
        </w:rPr>
        <w:t>(via email)</w:t>
      </w:r>
    </w:p>
    <w:p w14:paraId="30B155C5" w14:textId="1E3428BB" w:rsidR="00DE7779" w:rsidRPr="00612DF2" w:rsidRDefault="00DE7779" w:rsidP="00362F62">
      <w:pPr>
        <w:spacing w:before="0"/>
        <w:rPr>
          <w:lang w:val="pt-PT"/>
        </w:rPr>
      </w:pPr>
    </w:p>
    <w:p w14:paraId="520B5052" w14:textId="2B29D372" w:rsidR="00DE7779" w:rsidRPr="00612DF2" w:rsidRDefault="00763B58" w:rsidP="00362F62">
      <w:pPr>
        <w:spacing w:before="0"/>
        <w:rPr>
          <w:lang w:val="pt-PT"/>
        </w:rPr>
      </w:pPr>
      <w:r w:rsidRPr="00612DF2">
        <w:rPr>
          <w:lang w:val="pt-PT"/>
        </w:rPr>
        <w:t>25</w:t>
      </w:r>
      <w:r w:rsidR="00DE7779" w:rsidRPr="00612DF2">
        <w:rPr>
          <w:lang w:val="pt-PT"/>
        </w:rPr>
        <w:t xml:space="preserve"> </w:t>
      </w:r>
      <w:r w:rsidR="00CB6ACC" w:rsidRPr="00612DF2">
        <w:rPr>
          <w:lang w:val="pt-PT"/>
        </w:rPr>
        <w:t>June</w:t>
      </w:r>
      <w:r w:rsidR="00DE7779" w:rsidRPr="00612DF2">
        <w:rPr>
          <w:lang w:val="pt-PT"/>
        </w:rPr>
        <w:t xml:space="preserve"> 202</w:t>
      </w:r>
      <w:r w:rsidR="00DC72AB" w:rsidRPr="00612DF2">
        <w:rPr>
          <w:lang w:val="pt-PT"/>
        </w:rPr>
        <w:t>6</w:t>
      </w:r>
    </w:p>
    <w:p w14:paraId="2308BD8F" w14:textId="77777777" w:rsidR="00DE7779" w:rsidRPr="00612DF2" w:rsidRDefault="00DE7779" w:rsidP="00362F62">
      <w:pPr>
        <w:spacing w:before="0"/>
        <w:rPr>
          <w:lang w:val="pt-PT"/>
        </w:rPr>
      </w:pPr>
    </w:p>
    <w:p w14:paraId="61A9D16E" w14:textId="0F869AE6" w:rsidR="00193849" w:rsidRPr="00612DF2" w:rsidRDefault="00193849" w:rsidP="00366762">
      <w:pPr>
        <w:rPr>
          <w:lang w:val="pt-PT"/>
        </w:rPr>
      </w:pPr>
      <w:r w:rsidRPr="00612DF2">
        <w:rPr>
          <w:lang w:val="pt-PT"/>
        </w:rPr>
        <w:t xml:space="preserve">Dear </w:t>
      </w:r>
      <w:r w:rsidR="001C217B" w:rsidRPr="00612DF2">
        <w:rPr>
          <w:lang w:val="pt-PT"/>
        </w:rPr>
        <w:t>David</w:t>
      </w:r>
      <w:r w:rsidR="00DE7779" w:rsidRPr="00612DF2">
        <w:rPr>
          <w:lang w:val="pt-PT"/>
        </w:rPr>
        <w:t>,</w:t>
      </w:r>
    </w:p>
    <w:p w14:paraId="4AD44460" w14:textId="33A4DF5E" w:rsidR="00193849" w:rsidRPr="00DE7779" w:rsidRDefault="002A4431" w:rsidP="00DC72AB">
      <w:pPr>
        <w:rPr>
          <w:b/>
          <w:bCs/>
        </w:rPr>
      </w:pPr>
      <w:r>
        <w:rPr>
          <w:b/>
          <w:bCs/>
        </w:rPr>
        <w:t xml:space="preserve">Outcome of the latest actuarial valuation of the CNPP </w:t>
      </w:r>
      <w:r w:rsidR="00C06C8E">
        <w:rPr>
          <w:b/>
          <w:bCs/>
        </w:rPr>
        <w:t xml:space="preserve"> </w:t>
      </w:r>
      <w:r w:rsidR="00DC72AB">
        <w:rPr>
          <w:b/>
          <w:bCs/>
        </w:rPr>
        <w:t xml:space="preserve"> </w:t>
      </w:r>
      <w:r w:rsidR="00F35BB2">
        <w:rPr>
          <w:b/>
          <w:bCs/>
        </w:rPr>
        <w:t xml:space="preserve"> </w:t>
      </w:r>
      <w:r w:rsidR="000D7712">
        <w:t xml:space="preserve"> </w:t>
      </w:r>
      <w:r w:rsidR="000D7712">
        <w:rPr>
          <w:b/>
          <w:bCs/>
        </w:rPr>
        <w:t xml:space="preserve"> </w:t>
      </w:r>
    </w:p>
    <w:p w14:paraId="09302E14" w14:textId="2B5A7AAA" w:rsidR="00167C3F" w:rsidRDefault="002A4431" w:rsidP="00516AF1">
      <w:r>
        <w:t>Thank you for</w:t>
      </w:r>
      <w:r w:rsidR="00167C3F">
        <w:t xml:space="preserve"> arranging a useful discussion </w:t>
      </w:r>
      <w:r w:rsidR="008D4624">
        <w:t xml:space="preserve">between NDA officials and the recognised trade unions </w:t>
      </w:r>
      <w:r w:rsidR="00167C3F">
        <w:t>about the outcome of the latest actuarial valuation of the CNPP.</w:t>
      </w:r>
    </w:p>
    <w:p w14:paraId="6233EB5F" w14:textId="7EA18F95" w:rsidR="00167C3F" w:rsidRDefault="00167C3F" w:rsidP="00516AF1">
      <w:r>
        <w:t>I am writing with Prospect’s view about the implications for pension provision across the NDA estate.</w:t>
      </w:r>
    </w:p>
    <w:p w14:paraId="3E39FB4C" w14:textId="0E91FD6D" w:rsidR="008D4624" w:rsidRDefault="008D4624" w:rsidP="00516AF1">
      <w:r>
        <w:t>Prospect, along with all other stakeholders, greatly welcomes the significant improvement in the funding position of the scheme.</w:t>
      </w:r>
    </w:p>
    <w:p w14:paraId="0172EA53" w14:textId="40A85391" w:rsidR="008D4624" w:rsidRDefault="008D4624" w:rsidP="00516AF1">
      <w:r>
        <w:t>The decrease in the weighted average employer contribution rate to 15.6% from 1 April 2026 (and</w:t>
      </w:r>
      <w:r w:rsidR="00CB6ACC">
        <w:t xml:space="preserve"> to</w:t>
      </w:r>
      <w:r>
        <w:t xml:space="preserve"> less than 15% from 1 April 2027) will produce annual savings of many tens of millions of pounds.</w:t>
      </w:r>
    </w:p>
    <w:p w14:paraId="53A456B9" w14:textId="46A08800" w:rsidR="008D4624" w:rsidRDefault="008D4624" w:rsidP="008D4624">
      <w:r>
        <w:t xml:space="preserve">The estimated surplus as </w:t>
      </w:r>
      <w:proofErr w:type="gramStart"/>
      <w:r>
        <w:t>at</w:t>
      </w:r>
      <w:proofErr w:type="gramEnd"/>
      <w:r>
        <w:t xml:space="preserve"> 31 March of 2025 of £717 million, indicates a greatly strengthen</w:t>
      </w:r>
      <w:r w:rsidR="00DF389B">
        <w:t>ed</w:t>
      </w:r>
      <w:r>
        <w:t xml:space="preserve"> financial position.</w:t>
      </w:r>
    </w:p>
    <w:p w14:paraId="5F28D3A7" w14:textId="57F88EAE" w:rsidR="00A54332" w:rsidRDefault="00E70C16" w:rsidP="008D4624">
      <w:r>
        <w:t>But t</w:t>
      </w:r>
      <w:r w:rsidR="00A54332">
        <w:t>hese valuation results, while welcom</w:t>
      </w:r>
      <w:r>
        <w:t>e</w:t>
      </w:r>
      <w:r w:rsidR="00A54332">
        <w:t xml:space="preserve">, </w:t>
      </w:r>
      <w:r>
        <w:t xml:space="preserve">also </w:t>
      </w:r>
      <w:r w:rsidR="00A54332">
        <w:t>call into question the entire basis for providing occupational pensions across the NDA estate.</w:t>
      </w:r>
    </w:p>
    <w:p w14:paraId="796BE55F" w14:textId="1A01BC29" w:rsidR="00296CCE" w:rsidRDefault="00DF389B" w:rsidP="00296CCE">
      <w:r>
        <w:t xml:space="preserve">Prospect </w:t>
      </w:r>
      <w:r w:rsidR="002E77F6">
        <w:t xml:space="preserve">also </w:t>
      </w:r>
      <w:r>
        <w:t xml:space="preserve">has serious concerns about consequential decisions that the NDA Board has made </w:t>
      </w:r>
      <w:r w:rsidR="00296CCE">
        <w:t>based on</w:t>
      </w:r>
      <w:r>
        <w:t xml:space="preserve"> these results</w:t>
      </w:r>
      <w:r w:rsidR="00296CCE">
        <w:t>;</w:t>
      </w:r>
      <w:r>
        <w:t xml:space="preserve"> we do not believe that these decisions </w:t>
      </w:r>
      <w:r w:rsidR="00296CCE">
        <w:t>are i</w:t>
      </w:r>
      <w:r w:rsidR="00296CCE" w:rsidRPr="00296CCE">
        <w:t xml:space="preserve">n line with the principles set out in the </w:t>
      </w:r>
      <w:r w:rsidR="00164BF1">
        <w:t xml:space="preserve">Treasury’s </w:t>
      </w:r>
      <w:r w:rsidR="00296CCE" w:rsidRPr="00296CCE">
        <w:t>Balance Sheet Framework</w:t>
      </w:r>
      <w:r w:rsidR="00164BF1">
        <w:t>,</w:t>
      </w:r>
      <w:r w:rsidR="00296CCE">
        <w:t xml:space="preserve"> nor do we believe they are fair to employees.</w:t>
      </w:r>
    </w:p>
    <w:p w14:paraId="102C07E4" w14:textId="5265F677" w:rsidR="00A54332" w:rsidRDefault="00A54332" w:rsidP="00A54332">
      <w:pPr>
        <w:pStyle w:val="ListParagraph"/>
        <w:numPr>
          <w:ilvl w:val="0"/>
          <w:numId w:val="39"/>
        </w:numPr>
      </w:pPr>
      <w:r>
        <w:rPr>
          <w:b/>
          <w:bCs/>
        </w:rPr>
        <w:t>Use of surplus</w:t>
      </w:r>
    </w:p>
    <w:p w14:paraId="056282A6" w14:textId="1B776BDD" w:rsidR="00A54332" w:rsidRDefault="00A54332" w:rsidP="00A54332">
      <w:r>
        <w:t>The NDA Board and the CNPP trustees have agreed to use the £717 million surplus to de-risk.</w:t>
      </w:r>
    </w:p>
    <w:p w14:paraId="5B2ED120" w14:textId="3D20296F" w:rsidR="00A54332" w:rsidRDefault="00A54332" w:rsidP="00A54332">
      <w:r>
        <w:t xml:space="preserve">However, the definition of “risk” underpinning this approach seems to be the risk that deficits emerge </w:t>
      </w:r>
      <w:r w:rsidR="00A120B0">
        <w:t xml:space="preserve">after </w:t>
      </w:r>
      <w:r>
        <w:t>future</w:t>
      </w:r>
      <w:r w:rsidR="00A120B0">
        <w:t xml:space="preserve"> scheme valuations</w:t>
      </w:r>
      <w:r>
        <w:t>.</w:t>
      </w:r>
    </w:p>
    <w:p w14:paraId="6F2B5CDD" w14:textId="4E441B1B" w:rsidR="00A54332" w:rsidRDefault="00A54332" w:rsidP="00A54332">
      <w:r>
        <w:t xml:space="preserve">This might be a sensible definition of risk </w:t>
      </w:r>
      <w:r w:rsidR="00F34E04">
        <w:t>for</w:t>
      </w:r>
      <w:r>
        <w:t xml:space="preserve"> the NDA</w:t>
      </w:r>
      <w:r w:rsidR="00A120B0">
        <w:t>,</w:t>
      </w:r>
      <w:r>
        <w:t xml:space="preserve"> </w:t>
      </w:r>
      <w:r w:rsidR="00F34E04">
        <w:t xml:space="preserve">in the context of </w:t>
      </w:r>
      <w:r>
        <w:t xml:space="preserve">its desire for </w:t>
      </w:r>
      <w:r w:rsidR="00A120B0">
        <w:t xml:space="preserve">greater </w:t>
      </w:r>
      <w:r>
        <w:t>certainty about its future finances.</w:t>
      </w:r>
    </w:p>
    <w:p w14:paraId="0B276248" w14:textId="2EFDB657" w:rsidR="00A54332" w:rsidRDefault="00A54332" w:rsidP="00A54332">
      <w:r>
        <w:lastRenderedPageBreak/>
        <w:t xml:space="preserve">But decisions about the use of £717 million </w:t>
      </w:r>
      <w:r w:rsidR="0067558B">
        <w:t xml:space="preserve">of essentially public assets </w:t>
      </w:r>
      <w:r>
        <w:t>should be made in the wider interests of taxpayers</w:t>
      </w:r>
      <w:r w:rsidR="00A120B0">
        <w:t>,</w:t>
      </w:r>
      <w:r>
        <w:t xml:space="preserve"> and not </w:t>
      </w:r>
      <w:r w:rsidR="00A120B0">
        <w:t xml:space="preserve">primarily to help the NDA </w:t>
      </w:r>
      <w:r w:rsidR="00164BF1">
        <w:t>plan</w:t>
      </w:r>
      <w:r w:rsidR="00A120B0">
        <w:t xml:space="preserve"> more reliably</w:t>
      </w:r>
      <w:r>
        <w:t>.</w:t>
      </w:r>
    </w:p>
    <w:p w14:paraId="2686790E" w14:textId="6C17BBF1" w:rsidR="00F34E04" w:rsidRDefault="00F34E04" w:rsidP="00A54332">
      <w:r>
        <w:t xml:space="preserve">There is no obvious taxpayer interest in a public body lowering </w:t>
      </w:r>
      <w:r w:rsidR="00E70C16">
        <w:t>the</w:t>
      </w:r>
      <w:r>
        <w:t xml:space="preserve"> target investment return on billions of pounds of assets </w:t>
      </w:r>
      <w:proofErr w:type="gramStart"/>
      <w:r>
        <w:t>in order to</w:t>
      </w:r>
      <w:proofErr w:type="gramEnd"/>
      <w:r>
        <w:t xml:space="preserve"> hedge interest rate and inflation risk.</w:t>
      </w:r>
    </w:p>
    <w:p w14:paraId="56A8F881" w14:textId="63F30BCC" w:rsidR="00F34E04" w:rsidRDefault="00F34E04" w:rsidP="00F34E04">
      <w:pPr>
        <w:pStyle w:val="ListParagraph"/>
        <w:numPr>
          <w:ilvl w:val="0"/>
          <w:numId w:val="39"/>
        </w:numPr>
      </w:pPr>
      <w:r>
        <w:rPr>
          <w:b/>
          <w:bCs/>
        </w:rPr>
        <w:t>Past deficit recovery payments</w:t>
      </w:r>
    </w:p>
    <w:p w14:paraId="0D06E101" w14:textId="65466647" w:rsidR="00A120B0" w:rsidRDefault="00F34E04" w:rsidP="00A120B0">
      <w:r>
        <w:t xml:space="preserve">The outcome of this </w:t>
      </w:r>
      <w:r w:rsidR="00A120B0">
        <w:t>valuation</w:t>
      </w:r>
      <w:r>
        <w:t xml:space="preserve"> </w:t>
      </w:r>
      <w:r w:rsidR="00E70C16">
        <w:t>shows</w:t>
      </w:r>
      <w:r>
        <w:t xml:space="preserve"> that</w:t>
      </w:r>
      <w:r w:rsidR="00A120B0">
        <w:t xml:space="preserve"> deficit recovery payments of more than £100 million between 2021-22 and 2023-24 (inclusive) were completely unnecessary.</w:t>
      </w:r>
    </w:p>
    <w:p w14:paraId="16604F6F" w14:textId="74F220AC" w:rsidR="00A120B0" w:rsidRDefault="00A120B0" w:rsidP="00A120B0">
      <w:r>
        <w:t>The damage done to the NDA’s mission by these unnecessary payments cannot</w:t>
      </w:r>
      <w:r w:rsidR="00164BF1">
        <w:t xml:space="preserve"> </w:t>
      </w:r>
      <w:r>
        <w:t>be undone.</w:t>
      </w:r>
    </w:p>
    <w:p w14:paraId="2BDE15D6" w14:textId="77777777" w:rsidR="00262979" w:rsidRDefault="00A120B0" w:rsidP="00A120B0">
      <w:r>
        <w:t xml:space="preserve">These funds are not </w:t>
      </w:r>
      <w:r w:rsidR="00262979">
        <w:t xml:space="preserve">now </w:t>
      </w:r>
      <w:r>
        <w:t>available to the NDA</w:t>
      </w:r>
      <w:r w:rsidR="00262979">
        <w:t>,</w:t>
      </w:r>
      <w:r>
        <w:t xml:space="preserve"> as they are stranded </w:t>
      </w:r>
      <w:r w:rsidR="00262979">
        <w:t>as surplus assets in the CNPP.</w:t>
      </w:r>
    </w:p>
    <w:p w14:paraId="4E1BA655" w14:textId="77777777" w:rsidR="000F012F" w:rsidRDefault="00262979" w:rsidP="00A120B0">
      <w:r>
        <w:t xml:space="preserve">It makes no sense whatsoever for taxpayers to have </w:t>
      </w:r>
      <w:r w:rsidR="000F012F">
        <w:t xml:space="preserve">unnecessarily </w:t>
      </w:r>
      <w:r>
        <w:t xml:space="preserve">paid over £100 million </w:t>
      </w:r>
      <w:r w:rsidR="000F012F">
        <w:t>to top-up the level it was pre-funding pension liabilities at.</w:t>
      </w:r>
    </w:p>
    <w:p w14:paraId="78DA928F" w14:textId="77777777" w:rsidR="000F012F" w:rsidRDefault="000F012F" w:rsidP="000F012F">
      <w:pPr>
        <w:pStyle w:val="ListParagraph"/>
        <w:numPr>
          <w:ilvl w:val="0"/>
          <w:numId w:val="39"/>
        </w:numPr>
      </w:pPr>
      <w:r>
        <w:rPr>
          <w:b/>
          <w:bCs/>
        </w:rPr>
        <w:t>Incompatibility with Treasury’s Balance Sheet Framework</w:t>
      </w:r>
    </w:p>
    <w:p w14:paraId="3C76B6AB" w14:textId="11F401C4" w:rsidR="000F012F" w:rsidRDefault="000F012F" w:rsidP="000F012F">
      <w:r>
        <w:t xml:space="preserve">There is a much wider question of whether the NDA should be pre-funding these </w:t>
      </w:r>
      <w:r w:rsidR="00E70C16">
        <w:t>pension</w:t>
      </w:r>
      <w:r>
        <w:t xml:space="preserve"> liabilities at all.</w:t>
      </w:r>
    </w:p>
    <w:p w14:paraId="391E8BF4" w14:textId="5FF7C91D" w:rsidR="000F012F" w:rsidRDefault="000F012F" w:rsidP="000F012F">
      <w:r>
        <w:t>The Treasury’s Balance Sheet Framework</w:t>
      </w:r>
      <w:r>
        <w:rPr>
          <w:rStyle w:val="FootnoteReference"/>
        </w:rPr>
        <w:footnoteReference w:id="1"/>
      </w:r>
      <w:r>
        <w:t xml:space="preserve"> states</w:t>
      </w:r>
      <w:r w:rsidR="00BB167D">
        <w:t>:</w:t>
      </w:r>
    </w:p>
    <w:p w14:paraId="4266D99E" w14:textId="441BA404" w:rsidR="00BB167D" w:rsidRDefault="00BB167D" w:rsidP="00BB167D">
      <w:r>
        <w:t>“</w:t>
      </w:r>
      <w:r w:rsidRPr="00BB167D">
        <w:t>In general, government does not pre-fund future liabilities. This is because there is an opportunity cost to holding assets in a fund for the purpose of meeting future liabilities and it creates allocative inefficiency at the whole public sector level. The funds could instead be put to alternative use with greater societal returns, and the liability or risk could be more efficiently managed in the round with other unfunded liabilities and met out of general taxation when they fall due.</w:t>
      </w:r>
      <w:r>
        <w:t>”</w:t>
      </w:r>
    </w:p>
    <w:p w14:paraId="2C393565" w14:textId="1B810456" w:rsidR="00BB167D" w:rsidRDefault="00E70C16" w:rsidP="00BB167D">
      <w:r>
        <w:t>As a result of this approach, the Treasury announced in Budget 2025</w:t>
      </w:r>
      <w:r>
        <w:rPr>
          <w:rStyle w:val="FootnoteReference"/>
        </w:rPr>
        <w:footnoteReference w:id="2"/>
      </w:r>
      <w:r>
        <w:t xml:space="preserve"> that it would effectively defund the AWE Pension Scheme:</w:t>
      </w:r>
    </w:p>
    <w:p w14:paraId="1317D09B" w14:textId="4F62CB80" w:rsidR="00E70C16" w:rsidRDefault="00E70C16" w:rsidP="00E70C16">
      <w:r>
        <w:t>“</w:t>
      </w:r>
      <w:r w:rsidRPr="00E70C16">
        <w:t>Additionally, the government has confirmed £2 billion further asset disposals at the Budget by ensuring its liabilities are funded in the most efficient way. In line with the principles set out in the Balance Sheet Framework, liabilities held by the Atomic Weapons Establishment pension scheme and the Nuclear Liabilities Fund will no longer be pre-funded.</w:t>
      </w:r>
      <w:r>
        <w:t>”</w:t>
      </w:r>
    </w:p>
    <w:p w14:paraId="0B4A83ED" w14:textId="14BDB21C" w:rsidR="00E70C16" w:rsidRDefault="00E70C16" w:rsidP="00E70C16">
      <w:r>
        <w:t>The logic behind the decision to defund the AWE Pension Scheme applies equally to the CNPP.</w:t>
      </w:r>
    </w:p>
    <w:p w14:paraId="2C3172AC" w14:textId="2C03BFA5" w:rsidR="001C7ADB" w:rsidRDefault="001C7ADB" w:rsidP="00E70C16">
      <w:r>
        <w:t xml:space="preserve">Taking this approach would result in more appropriate management of public sector liabilities and deliver the greater predictability of future pension costs </w:t>
      </w:r>
      <w:r w:rsidR="00164BF1">
        <w:t xml:space="preserve">that </w:t>
      </w:r>
      <w:r>
        <w:t>the NDA desires.</w:t>
      </w:r>
    </w:p>
    <w:p w14:paraId="24203D5F" w14:textId="47B80717" w:rsidR="001C7ADB" w:rsidRDefault="001C7ADB" w:rsidP="001C7ADB">
      <w:pPr>
        <w:pStyle w:val="ListParagraph"/>
        <w:numPr>
          <w:ilvl w:val="0"/>
          <w:numId w:val="39"/>
        </w:numPr>
      </w:pPr>
      <w:r>
        <w:rPr>
          <w:b/>
          <w:bCs/>
        </w:rPr>
        <w:t>Application of reduction in employer contribution rates</w:t>
      </w:r>
    </w:p>
    <w:p w14:paraId="3C7EAC0F" w14:textId="78A6824F" w:rsidR="003E49CF" w:rsidRDefault="001C7ADB" w:rsidP="001C7ADB">
      <w:r>
        <w:t xml:space="preserve">The implication of the presentation delivered by NDA colleagues, is that the reduction in </w:t>
      </w:r>
      <w:r w:rsidR="003E49CF">
        <w:t xml:space="preserve">employer contribution costs will broadly be used to deliver the remaining unidentified efficiency savings required under the </w:t>
      </w:r>
      <w:r w:rsidR="003A463C">
        <w:t>S</w:t>
      </w:r>
      <w:r w:rsidR="003E49CF">
        <w:t xml:space="preserve">pending </w:t>
      </w:r>
      <w:r w:rsidR="003A463C">
        <w:t>Re</w:t>
      </w:r>
      <w:r w:rsidR="003E49CF">
        <w:t>view.</w:t>
      </w:r>
    </w:p>
    <w:p w14:paraId="17224BAF" w14:textId="2722AF69" w:rsidR="003E49CF" w:rsidRDefault="003E49CF" w:rsidP="001C7ADB">
      <w:r>
        <w:t>The first challenge to that is that these lower costs are not actually efficiency savings, but the arbitrary impact of higher bond yields</w:t>
      </w:r>
      <w:r w:rsidR="00972F88">
        <w:t xml:space="preserve"> on required pension funding levels</w:t>
      </w:r>
      <w:r>
        <w:t>.</w:t>
      </w:r>
    </w:p>
    <w:p w14:paraId="305C7A96" w14:textId="170E38CC" w:rsidR="003E49CF" w:rsidRDefault="003E49CF" w:rsidP="001C7ADB">
      <w:r>
        <w:lastRenderedPageBreak/>
        <w:t>More importantly, this approach does not recognise the impact that past increases in pension costs (including deficit recovery payments) had on our members’ terms and conditions.</w:t>
      </w:r>
    </w:p>
    <w:p w14:paraId="61444F4A" w14:textId="17A5B2B8" w:rsidR="003A463C" w:rsidRDefault="003E49CF" w:rsidP="001C7ADB">
      <w:r>
        <w:t xml:space="preserve">Prospect members will not accept the unfairness inherent in an approach where they </w:t>
      </w:r>
      <w:proofErr w:type="gramStart"/>
      <w:r>
        <w:t>have to</w:t>
      </w:r>
      <w:proofErr w:type="gramEnd"/>
      <w:r>
        <w:t xml:space="preserve"> share the burden of increasing pension costs, but do not enjoy any benefit from subsequent reductions (</w:t>
      </w:r>
      <w:r w:rsidR="00763B58">
        <w:t>i.e.</w:t>
      </w:r>
      <w:r w:rsidR="003A463C">
        <w:t xml:space="preserve"> </w:t>
      </w:r>
      <w:r>
        <w:t>reversal of those past increases).</w:t>
      </w:r>
    </w:p>
    <w:p w14:paraId="2F649C74" w14:textId="77777777" w:rsidR="00F12795" w:rsidRDefault="003A463C" w:rsidP="00F12795">
      <w:r>
        <w:t xml:space="preserve">We also do not accept that it is for the NDA Board alone to make decisions that have the potential to have </w:t>
      </w:r>
      <w:r w:rsidR="00F12795">
        <w:t>such a significant impact on members’ terms and conditions</w:t>
      </w:r>
      <w:r>
        <w:t xml:space="preserve"> without any reference to the recognised</w:t>
      </w:r>
      <w:r w:rsidR="00F12795">
        <w:t xml:space="preserve"> trade unions.</w:t>
      </w:r>
    </w:p>
    <w:p w14:paraId="232A904A" w14:textId="77777777" w:rsidR="00972F88" w:rsidRDefault="00972F88" w:rsidP="00972F88"/>
    <w:p w14:paraId="64332F5C" w14:textId="77777777" w:rsidR="00103C8C" w:rsidRDefault="00477353" w:rsidP="00972F88">
      <w:r>
        <w:t>There are several potential ways for the reduction in the cost of the DB sections of the CNPP to be shared with members.</w:t>
      </w:r>
      <w:r w:rsidR="00103C8C">
        <w:t xml:space="preserve"> We believe that addressing retirement outcomes for DC members should be a priority.</w:t>
      </w:r>
    </w:p>
    <w:p w14:paraId="00334BA5" w14:textId="6EC361BA" w:rsidR="00103C8C" w:rsidRDefault="00103C8C" w:rsidP="00972F88">
      <w:r>
        <w:t>We have previously written about why improving retirement outcomes for DC members is necessary:</w:t>
      </w:r>
    </w:p>
    <w:p w14:paraId="20BBE9C2" w14:textId="1BB99DFD" w:rsidR="00631070" w:rsidRDefault="00103C8C" w:rsidP="00103C8C">
      <w:pPr>
        <w:pStyle w:val="ListParagraph"/>
        <w:numPr>
          <w:ilvl w:val="0"/>
          <w:numId w:val="41"/>
        </w:numPr>
      </w:pPr>
      <w:r>
        <w:t xml:space="preserve">The NDA </w:t>
      </w:r>
      <w:r w:rsidR="008A3447">
        <w:t xml:space="preserve">previously </w:t>
      </w:r>
      <w:r>
        <w:t xml:space="preserve">agreed that the DC </w:t>
      </w:r>
      <w:r w:rsidR="00631070">
        <w:t xml:space="preserve">scheme </w:t>
      </w:r>
      <w:r>
        <w:t xml:space="preserve">would be reviewed and improvements considered if </w:t>
      </w:r>
      <w:r w:rsidR="008A3447">
        <w:t>appropriate</w:t>
      </w:r>
      <w:r>
        <w:t xml:space="preserve">. The conditions </w:t>
      </w:r>
      <w:r w:rsidR="00631070">
        <w:t>for improving the pension arrangements for DC members have been met, but so far, the NDA has reneged on its agreement.</w:t>
      </w:r>
    </w:p>
    <w:p w14:paraId="797909FE" w14:textId="7276DA4E" w:rsidR="00631070" w:rsidRDefault="00631070" w:rsidP="00103C8C">
      <w:pPr>
        <w:pStyle w:val="ListParagraph"/>
        <w:numPr>
          <w:ilvl w:val="0"/>
          <w:numId w:val="41"/>
        </w:numPr>
      </w:pPr>
      <w:r>
        <w:t>An allowance in the DC scheme design for the existence of the State Second Pension is no longer appropriate since that benefit was abolished from April 2016.</w:t>
      </w:r>
    </w:p>
    <w:p w14:paraId="3C242854" w14:textId="5CE40A78" w:rsidR="00972F88" w:rsidRDefault="00631070" w:rsidP="00763B58">
      <w:pPr>
        <w:pStyle w:val="ListParagraph"/>
        <w:numPr>
          <w:ilvl w:val="0"/>
          <w:numId w:val="41"/>
        </w:numPr>
      </w:pPr>
      <w:r>
        <w:t>The shortfall in retirement outcomes for DC members is likely to be greatest for younger and female members, and this could result in legal challenges on indirect discrimination grounds</w:t>
      </w:r>
      <w:r w:rsidR="00763B58">
        <w:t xml:space="preserve">. </w:t>
      </w:r>
    </w:p>
    <w:p w14:paraId="7EF06492" w14:textId="77777777" w:rsidR="008A3447" w:rsidRDefault="00631070" w:rsidP="00972F88">
      <w:r>
        <w:t xml:space="preserve">There are </w:t>
      </w:r>
      <w:proofErr w:type="gramStart"/>
      <w:r>
        <w:t>a number of</w:t>
      </w:r>
      <w:proofErr w:type="gramEnd"/>
      <w:r>
        <w:t xml:space="preserve"> ways that pension provision could be improved for DC members. The </w:t>
      </w:r>
      <w:r w:rsidR="008A3447">
        <w:t>most sensible</w:t>
      </w:r>
      <w:r>
        <w:t xml:space="preserve"> way would be to give them access to an unfunded DB scheme (such as the Alpha scheme for civil servants) as this would be fiscally positive over the forecast period.</w:t>
      </w:r>
    </w:p>
    <w:p w14:paraId="2FF867A0" w14:textId="7F8DD34E" w:rsidR="00972F88" w:rsidRDefault="00631070" w:rsidP="00972F88">
      <w:r>
        <w:t xml:space="preserve"> </w:t>
      </w:r>
      <w:r w:rsidR="00972F88">
        <w:t xml:space="preserve">   </w:t>
      </w:r>
    </w:p>
    <w:p w14:paraId="420FDDE7" w14:textId="5AA1D43E" w:rsidR="001C7ADB" w:rsidRDefault="00F12795" w:rsidP="00F12795">
      <w:r>
        <w:t>Based on the above, Prospect believes there is a strong argument to:</w:t>
      </w:r>
    </w:p>
    <w:p w14:paraId="4136436E" w14:textId="77777777" w:rsidR="00F12795" w:rsidRDefault="00F12795" w:rsidP="00F12795">
      <w:pPr>
        <w:pStyle w:val="ListParagraph"/>
        <w:numPr>
          <w:ilvl w:val="0"/>
          <w:numId w:val="40"/>
        </w:numPr>
      </w:pPr>
      <w:r>
        <w:t>Take CNPP liabilities directly onto the government’s books and defund the scheme.</w:t>
      </w:r>
    </w:p>
    <w:p w14:paraId="42F077A0" w14:textId="0B8FCCC0" w:rsidR="00F12795" w:rsidRDefault="00F12795" w:rsidP="00F12795">
      <w:pPr>
        <w:pStyle w:val="ListParagraph"/>
        <w:numPr>
          <w:ilvl w:val="0"/>
          <w:numId w:val="40"/>
        </w:numPr>
      </w:pPr>
      <w:r>
        <w:t>Establish an unfunded broadly equivalent scheme under Section 31(7) of the Public Service Pensions Act</w:t>
      </w:r>
      <w:r>
        <w:rPr>
          <w:rStyle w:val="FootnoteReference"/>
        </w:rPr>
        <w:footnoteReference w:id="3"/>
      </w:r>
      <w:r>
        <w:t xml:space="preserve"> </w:t>
      </w:r>
      <w:r w:rsidR="00FE1405">
        <w:t>that</w:t>
      </w:r>
      <w:r>
        <w:t xml:space="preserve"> CNPP DB members</w:t>
      </w:r>
      <w:r w:rsidR="00FE1405">
        <w:t xml:space="preserve"> could be transferred to in line with pension protections under the Energy Act 2004</w:t>
      </w:r>
      <w:r w:rsidR="00FE1405">
        <w:rPr>
          <w:rStyle w:val="FootnoteReference"/>
        </w:rPr>
        <w:footnoteReference w:id="4"/>
      </w:r>
      <w:r>
        <w:t>.</w:t>
      </w:r>
    </w:p>
    <w:p w14:paraId="39616396" w14:textId="6FFA6F05" w:rsidR="00F12795" w:rsidRDefault="00F12795" w:rsidP="00F12795">
      <w:pPr>
        <w:pStyle w:val="ListParagraph"/>
        <w:numPr>
          <w:ilvl w:val="0"/>
          <w:numId w:val="40"/>
        </w:numPr>
      </w:pPr>
      <w:r>
        <w:t xml:space="preserve">Grant access to </w:t>
      </w:r>
      <w:r w:rsidR="00631070">
        <w:t>an unfunded DB scheme, such as a scheme es</w:t>
      </w:r>
      <w:r w:rsidR="008A3447">
        <w:t xml:space="preserve">tablished under (2) above or </w:t>
      </w:r>
      <w:r>
        <w:t>the Alpha scheme</w:t>
      </w:r>
      <w:r w:rsidR="008A3447">
        <w:t>,</w:t>
      </w:r>
      <w:r w:rsidR="00164BF1">
        <w:t xml:space="preserve"> to CNPP DC members</w:t>
      </w:r>
      <w:r>
        <w:t>.</w:t>
      </w:r>
    </w:p>
    <w:p w14:paraId="5A181D59" w14:textId="77777777" w:rsidR="00FE1405" w:rsidRDefault="00F12795" w:rsidP="00F12795">
      <w:r>
        <w:t>We believe this approach is more aligned with the Treasury’s Balance Sheet Framework,</w:t>
      </w:r>
      <w:r w:rsidR="00BE433D">
        <w:t xml:space="preserve"> </w:t>
      </w:r>
      <w:r w:rsidR="00FE1405">
        <w:t>would make it easier for Treasury to comply with its fiscal framework</w:t>
      </w:r>
      <w:r w:rsidR="00FE1405">
        <w:rPr>
          <w:rStyle w:val="FootnoteReference"/>
        </w:rPr>
        <w:footnoteReference w:id="5"/>
      </w:r>
      <w:r w:rsidR="00FE1405">
        <w:t xml:space="preserve"> and would result in more appropriate pension provision for employees that delivered better outcomes.</w:t>
      </w:r>
    </w:p>
    <w:p w14:paraId="353935BB" w14:textId="77777777" w:rsidR="008A3447" w:rsidRDefault="00FE1405" w:rsidP="00F12795">
      <w:r>
        <w:t>We have rehearsed the arguments for giving DC members access to the Alpha scheme</w:t>
      </w:r>
      <w:r w:rsidR="00972F88">
        <w:t xml:space="preserve"> with the NDA</w:t>
      </w:r>
      <w:r>
        <w:t xml:space="preserve"> many times before. We do not propose to have these discussions with the </w:t>
      </w:r>
      <w:r>
        <w:lastRenderedPageBreak/>
        <w:t>NDA again. Instead, we will write to Treasury and DESNZ Ministers to request a meeting to discuss the above.</w:t>
      </w:r>
      <w:r w:rsidR="008A3447">
        <w:t xml:space="preserve"> </w:t>
      </w:r>
    </w:p>
    <w:p w14:paraId="0DF99C74" w14:textId="3DC65B18" w:rsidR="00F12795" w:rsidRDefault="008A3447" w:rsidP="00F12795">
      <w:r>
        <w:t>If you feel that it might be possible to make a joint approach to the Treasury and DESNZ on these points, please let me know</w:t>
      </w:r>
      <w:r w:rsidR="00763B58">
        <w:t xml:space="preserve">. </w:t>
      </w:r>
    </w:p>
    <w:p w14:paraId="7E649B03" w14:textId="77777777" w:rsidR="00FE1405" w:rsidRDefault="00FE1405" w:rsidP="00FE1405"/>
    <w:p w14:paraId="46816C70" w14:textId="7ACF5108" w:rsidR="00E16767" w:rsidRDefault="002B787C" w:rsidP="00FE1405">
      <w:r>
        <w:t xml:space="preserve"> </w:t>
      </w:r>
      <w:r w:rsidR="000A79D8">
        <w:t xml:space="preserve"> </w:t>
      </w:r>
      <w:r w:rsidR="00FA61FC">
        <w:t xml:space="preserve"> </w:t>
      </w:r>
    </w:p>
    <w:p w14:paraId="6B92C0F9" w14:textId="1E73DFEF" w:rsidR="00E16767" w:rsidRDefault="00E16767" w:rsidP="00E16767">
      <w:r>
        <w:t>Yours sincerely</w:t>
      </w:r>
      <w:r w:rsidR="00AF4D1E">
        <w:t>,</w:t>
      </w:r>
    </w:p>
    <w:p w14:paraId="3C8ACA92" w14:textId="77777777" w:rsidR="003B6199" w:rsidRDefault="003B6199" w:rsidP="00E16767"/>
    <w:p w14:paraId="4BF1D140" w14:textId="3E2B0E02" w:rsidR="00763B58" w:rsidRDefault="00763B58" w:rsidP="00E16767">
      <w:pPr>
        <w:rPr>
          <w:b/>
          <w:bCs/>
        </w:rPr>
      </w:pPr>
      <w:r>
        <w:rPr>
          <w:noProof/>
        </w:rPr>
        <w:drawing>
          <wp:inline distT="0" distB="0" distL="0" distR="0" wp14:anchorId="14C530F4" wp14:editId="6BF3CC64">
            <wp:extent cx="885825" cy="384033"/>
            <wp:effectExtent l="0" t="0" r="0" b="0"/>
            <wp:docPr id="2112116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599" cy="388270"/>
                    </a:xfrm>
                    <a:prstGeom prst="rect">
                      <a:avLst/>
                    </a:prstGeom>
                    <a:noFill/>
                  </pic:spPr>
                </pic:pic>
              </a:graphicData>
            </a:graphic>
          </wp:inline>
        </w:drawing>
      </w:r>
    </w:p>
    <w:p w14:paraId="5FC55767" w14:textId="77777777" w:rsidR="00763B58" w:rsidRDefault="00763B58" w:rsidP="00E16767">
      <w:pPr>
        <w:rPr>
          <w:b/>
          <w:bCs/>
        </w:rPr>
      </w:pPr>
    </w:p>
    <w:p w14:paraId="35306864" w14:textId="16F568E2" w:rsidR="00E16767" w:rsidRDefault="008D4624" w:rsidP="00E16767">
      <w:pPr>
        <w:rPr>
          <w:b/>
          <w:bCs/>
        </w:rPr>
      </w:pPr>
      <w:r>
        <w:rPr>
          <w:b/>
          <w:bCs/>
        </w:rPr>
        <w:t>Sue Ferns</w:t>
      </w:r>
    </w:p>
    <w:p w14:paraId="7599037F" w14:textId="748E9E7C" w:rsidR="00E16767" w:rsidRPr="00E16767" w:rsidRDefault="008D4624" w:rsidP="00E16767">
      <w:r>
        <w:t xml:space="preserve">Senior </w:t>
      </w:r>
      <w:r w:rsidR="00E571FA">
        <w:t>Deputy General</w:t>
      </w:r>
      <w:r w:rsidR="00E16767">
        <w:t xml:space="preserve"> Secretary</w:t>
      </w:r>
    </w:p>
    <w:sectPr w:rsidR="00E16767" w:rsidRPr="00E16767" w:rsidSect="00ED4724">
      <w:footerReference w:type="even" r:id="rId9"/>
      <w:footerReference w:type="default" r:id="rId10"/>
      <w:headerReference w:type="first" r:id="rId11"/>
      <w:footerReference w:type="first" r:id="rId12"/>
      <w:pgSz w:w="11906" w:h="16838"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D0A9" w14:textId="77777777" w:rsidR="00FE004F" w:rsidRDefault="00FE004F">
      <w:r>
        <w:separator/>
      </w:r>
    </w:p>
  </w:endnote>
  <w:endnote w:type="continuationSeparator" w:id="0">
    <w:p w14:paraId="76DF9073" w14:textId="77777777" w:rsidR="00FE004F" w:rsidRDefault="00FE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61F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1899417D" w14:textId="77777777" w:rsidR="001918F6" w:rsidRDefault="001918F6">
    <w:pPr>
      <w:pStyle w:val="Footer"/>
    </w:pPr>
  </w:p>
  <w:p w14:paraId="4A7227AF" w14:textId="77777777" w:rsidR="00DC76CB" w:rsidRDefault="00DC7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EE8B" w14:textId="77777777" w:rsidR="00502984" w:rsidRDefault="00502984" w:rsidP="003E7906">
    <w:pPr>
      <w:pStyle w:val="Footer"/>
    </w:pPr>
  </w:p>
  <w:p w14:paraId="1B620A43" w14:textId="77777777" w:rsidR="00DC76CB" w:rsidRDefault="00E34C55" w:rsidP="00502984">
    <w:pPr>
      <w:pStyle w:val="Footer"/>
      <w:jc w:val="center"/>
    </w:pPr>
    <w:r w:rsidRPr="00502984">
      <w:fldChar w:fldCharType="begin"/>
    </w:r>
    <w:r w:rsidRPr="00502984">
      <w:instrText xml:space="preserve">PAGE  </w:instrText>
    </w:r>
    <w:r w:rsidRPr="00502984">
      <w:fldChar w:fldCharType="separate"/>
    </w:r>
    <w:r w:rsidR="00502984">
      <w:rPr>
        <w:noProof/>
      </w:rPr>
      <w:t>2</w:t>
    </w:r>
    <w:r w:rsidRPr="00502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0"/>
      <w:gridCol w:w="4249"/>
    </w:tblGrid>
    <w:tr w:rsidR="00E84930" w:rsidRPr="00CB5A86" w14:paraId="673C9426" w14:textId="77777777" w:rsidTr="00BD4843">
      <w:tc>
        <w:tcPr>
          <w:tcW w:w="4244" w:type="dxa"/>
          <w:noWrap/>
          <w:vAlign w:val="bottom"/>
        </w:tcPr>
        <w:p w14:paraId="3B2DCE80" w14:textId="0E768288" w:rsidR="00E84930" w:rsidRPr="00CB5A86" w:rsidRDefault="00E84930" w:rsidP="00BD4843">
          <w:pPr>
            <w:pStyle w:val="Prospectaddress"/>
          </w:pPr>
          <w:r w:rsidRPr="00CB5A86">
            <w:t xml:space="preserve">Prospect </w:t>
          </w:r>
        </w:p>
        <w:p w14:paraId="6757CD2E" w14:textId="0FE8F9EA" w:rsidR="00E84930" w:rsidRPr="009E6FEE" w:rsidRDefault="007F2D55" w:rsidP="00BD4843">
          <w:pPr>
            <w:pStyle w:val="Prospectaddress"/>
          </w:pPr>
          <w:r>
            <w:t>100</w:t>
          </w:r>
          <w:r w:rsidR="00E84930" w:rsidRPr="009E6FEE">
            <w:t xml:space="preserve"> </w:t>
          </w:r>
          <w:r>
            <w:t>Rochester Row</w:t>
          </w:r>
        </w:p>
        <w:p w14:paraId="2E673EE5" w14:textId="77777777" w:rsidR="00E84930" w:rsidRPr="00CB5A86" w:rsidRDefault="00E84930" w:rsidP="00BD4843">
          <w:pPr>
            <w:pStyle w:val="Prospectaddress"/>
          </w:pPr>
          <w:r w:rsidRPr="00CB5A86">
            <w:t>London</w:t>
          </w:r>
        </w:p>
        <w:p w14:paraId="49E4A138" w14:textId="3D2355E2" w:rsidR="00E84930" w:rsidRPr="00CB5A86" w:rsidRDefault="00E84930" w:rsidP="00BD4843">
          <w:pPr>
            <w:pStyle w:val="Prospectaddress"/>
          </w:pPr>
          <w:r w:rsidRPr="00CB5A86">
            <w:t>S</w:t>
          </w:r>
          <w:r w:rsidR="007F2D55">
            <w:t>W1P</w:t>
          </w:r>
          <w:r w:rsidRPr="00CB5A86">
            <w:t xml:space="preserve"> </w:t>
          </w:r>
          <w:r w:rsidR="007F2D55">
            <w:t>1JP</w:t>
          </w:r>
        </w:p>
      </w:tc>
      <w:tc>
        <w:tcPr>
          <w:tcW w:w="4245" w:type="dxa"/>
          <w:noWrap/>
          <w:vAlign w:val="bottom"/>
        </w:tcPr>
        <w:p w14:paraId="6309CCDD" w14:textId="77777777" w:rsidR="00E84930" w:rsidRPr="00CB5A86" w:rsidRDefault="00E84930" w:rsidP="00BD4843">
          <w:pPr>
            <w:pStyle w:val="Prospectaddress"/>
          </w:pPr>
          <w:r w:rsidRPr="00CB5A86">
            <w:t>0300 600 1878</w:t>
          </w:r>
        </w:p>
        <w:p w14:paraId="0A052D3B" w14:textId="77777777" w:rsidR="00E84930" w:rsidRPr="00CB5A86" w:rsidRDefault="00E84930" w:rsidP="00BD4843">
          <w:pPr>
            <w:pStyle w:val="Prospectaddress"/>
          </w:pPr>
          <w:r w:rsidRPr="00F660E2">
            <w:t>info@prospect.org.uk</w:t>
          </w:r>
        </w:p>
        <w:p w14:paraId="03A4D5FA" w14:textId="77777777" w:rsidR="00E84930" w:rsidRPr="00CB5A86" w:rsidRDefault="00E84930" w:rsidP="00BD4843">
          <w:pPr>
            <w:pStyle w:val="Prospectaddress"/>
          </w:pPr>
        </w:p>
        <w:p w14:paraId="65B18B5E" w14:textId="77777777" w:rsidR="00E84930" w:rsidRPr="00CB5A86" w:rsidRDefault="00E84930" w:rsidP="00BD4843">
          <w:pPr>
            <w:pStyle w:val="Prospectaddress"/>
          </w:pPr>
          <w:r w:rsidRPr="00CB5A86">
            <w:t>prospect.org.uk</w:t>
          </w:r>
        </w:p>
      </w:tc>
    </w:tr>
  </w:tbl>
  <w:p w14:paraId="1A0C7170" w14:textId="77777777" w:rsidR="00193849" w:rsidRDefault="00193849" w:rsidP="00E84930">
    <w:pPr>
      <w:pStyle w:val="Footer"/>
      <w:spacing w:afterLines="60" w:after="144"/>
      <w:rPr>
        <w:sz w:val="17"/>
      </w:rPr>
    </w:pPr>
  </w:p>
  <w:p w14:paraId="6A68A449" w14:textId="77777777" w:rsidR="003E7906" w:rsidRPr="003E7906" w:rsidRDefault="003E7906" w:rsidP="003E7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2A62" w14:textId="77777777" w:rsidR="00FE004F" w:rsidRDefault="00FE004F">
      <w:r>
        <w:separator/>
      </w:r>
    </w:p>
  </w:footnote>
  <w:footnote w:type="continuationSeparator" w:id="0">
    <w:p w14:paraId="2C0649C5" w14:textId="77777777" w:rsidR="00FE004F" w:rsidRDefault="00FE004F">
      <w:r>
        <w:continuationSeparator/>
      </w:r>
    </w:p>
  </w:footnote>
  <w:footnote w:id="1">
    <w:p w14:paraId="26B3882E" w14:textId="723CFCCC" w:rsidR="000F012F" w:rsidRDefault="000F012F" w:rsidP="000F012F">
      <w:pPr>
        <w:pStyle w:val="FootnoteText"/>
      </w:pPr>
      <w:r>
        <w:rPr>
          <w:rStyle w:val="FootnoteReference"/>
        </w:rPr>
        <w:footnoteRef/>
      </w:r>
      <w:r>
        <w:t xml:space="preserve"> </w:t>
      </w:r>
      <w:hyperlink r:id="rId1" w:history="1">
        <w:r w:rsidRPr="000F012F">
          <w:rPr>
            <w:rStyle w:val="Hyperlink"/>
          </w:rPr>
          <w:t>April_2026_Balance_Sheet_Framework_update.pdf</w:t>
        </w:r>
      </w:hyperlink>
    </w:p>
  </w:footnote>
  <w:footnote w:id="2">
    <w:p w14:paraId="331D6383" w14:textId="16EAB69A" w:rsidR="00E70C16" w:rsidRDefault="00E70C16" w:rsidP="00E70C16">
      <w:pPr>
        <w:pStyle w:val="FootnoteText"/>
      </w:pPr>
      <w:r>
        <w:rPr>
          <w:rStyle w:val="FootnoteReference"/>
        </w:rPr>
        <w:footnoteRef/>
      </w:r>
      <w:r>
        <w:t xml:space="preserve"> </w:t>
      </w:r>
      <w:hyperlink r:id="rId2" w:history="1">
        <w:r w:rsidRPr="00E70C16">
          <w:rPr>
            <w:rStyle w:val="Hyperlink"/>
          </w:rPr>
          <w:t>Budget 2025 (HTML) - GOV.UK</w:t>
        </w:r>
      </w:hyperlink>
    </w:p>
  </w:footnote>
  <w:footnote w:id="3">
    <w:p w14:paraId="2E481B85" w14:textId="653572EB" w:rsidR="00F12795" w:rsidRDefault="00F12795" w:rsidP="00F12795">
      <w:pPr>
        <w:pStyle w:val="FootnoteText"/>
      </w:pPr>
      <w:r>
        <w:rPr>
          <w:rStyle w:val="FootnoteReference"/>
        </w:rPr>
        <w:footnoteRef/>
      </w:r>
      <w:r>
        <w:t xml:space="preserve"> </w:t>
      </w:r>
      <w:hyperlink r:id="rId3" w:history="1">
        <w:r w:rsidRPr="00F12795">
          <w:rPr>
            <w:rStyle w:val="Hyperlink"/>
          </w:rPr>
          <w:t>Public Service Pensions Act 2013</w:t>
        </w:r>
      </w:hyperlink>
    </w:p>
  </w:footnote>
  <w:footnote w:id="4">
    <w:p w14:paraId="26AEA5B6" w14:textId="7A53276E" w:rsidR="00FE1405" w:rsidRDefault="00FE1405" w:rsidP="00FE1405">
      <w:pPr>
        <w:pStyle w:val="FootnoteText"/>
      </w:pPr>
      <w:r>
        <w:rPr>
          <w:rStyle w:val="FootnoteReference"/>
        </w:rPr>
        <w:footnoteRef/>
      </w:r>
      <w:r>
        <w:t xml:space="preserve"> </w:t>
      </w:r>
      <w:hyperlink r:id="rId4" w:history="1">
        <w:r w:rsidRPr="00FE1405">
          <w:rPr>
            <w:rStyle w:val="Hyperlink"/>
          </w:rPr>
          <w:t>Energy Act 2004</w:t>
        </w:r>
      </w:hyperlink>
    </w:p>
  </w:footnote>
  <w:footnote w:id="5">
    <w:p w14:paraId="3EF9F001" w14:textId="2AF8F551" w:rsidR="00FE1405" w:rsidRDefault="00FE1405" w:rsidP="00FE1405">
      <w:pPr>
        <w:pStyle w:val="FootnoteText"/>
      </w:pPr>
      <w:r>
        <w:rPr>
          <w:rStyle w:val="FootnoteReference"/>
        </w:rPr>
        <w:footnoteRef/>
      </w:r>
      <w:r>
        <w:t xml:space="preserve"> </w:t>
      </w:r>
      <w:hyperlink r:id="rId5" w:history="1">
        <w:r w:rsidRPr="00FE1405">
          <w:rPr>
            <w:rStyle w:val="Hyperlink"/>
          </w:rPr>
          <w:t>A strong fiscal framework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A073" w14:textId="77777777" w:rsidR="00193849" w:rsidRDefault="00A540F0">
    <w:r>
      <w:rPr>
        <w:noProof/>
      </w:rPr>
      <w:drawing>
        <wp:anchor distT="0" distB="0" distL="114300" distR="114300" simplePos="0" relativeHeight="251659264" behindDoc="0" locked="0" layoutInCell="1" allowOverlap="1" wp14:anchorId="44E822D2" wp14:editId="188CBB91">
          <wp:simplePos x="0" y="0"/>
          <wp:positionH relativeFrom="page">
            <wp:align>center</wp:align>
          </wp:positionH>
          <wp:positionV relativeFrom="page">
            <wp:posOffset>453390</wp:posOffset>
          </wp:positionV>
          <wp:extent cx="2001600" cy="1004400"/>
          <wp:effectExtent l="0" t="0" r="5080" b="0"/>
          <wp:wrapTight wrapText="bothSides">
            <wp:wrapPolygon edited="0">
              <wp:start x="10827" y="0"/>
              <wp:lineTo x="6579" y="4918"/>
              <wp:lineTo x="4797" y="5192"/>
              <wp:lineTo x="4523" y="5738"/>
              <wp:lineTo x="4934" y="9290"/>
              <wp:lineTo x="0" y="12569"/>
              <wp:lineTo x="0" y="21313"/>
              <wp:lineTo x="10964" y="21313"/>
              <wp:lineTo x="21518" y="19127"/>
              <wp:lineTo x="21518" y="13662"/>
              <wp:lineTo x="20970" y="13662"/>
              <wp:lineTo x="21244" y="12023"/>
              <wp:lineTo x="19325" y="10930"/>
              <wp:lineTo x="11924" y="9290"/>
              <wp:lineTo x="19599" y="9290"/>
              <wp:lineTo x="20970" y="8744"/>
              <wp:lineTo x="20695" y="4918"/>
              <wp:lineTo x="21381" y="1366"/>
              <wp:lineTo x="20558" y="1093"/>
              <wp:lineTo x="12061" y="0"/>
              <wp:lineTo x="108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8EA176B"/>
    <w:multiLevelType w:val="hybridMultilevel"/>
    <w:tmpl w:val="535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5476"/>
    <w:multiLevelType w:val="hybridMultilevel"/>
    <w:tmpl w:val="E988B290"/>
    <w:lvl w:ilvl="0" w:tplc="108AC9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607DD"/>
    <w:multiLevelType w:val="hybridMultilevel"/>
    <w:tmpl w:val="CC4C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F07A6"/>
    <w:multiLevelType w:val="hybridMultilevel"/>
    <w:tmpl w:val="97CCD562"/>
    <w:lvl w:ilvl="0" w:tplc="C2A27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6" w15:restartNumberingAfterBreak="0">
    <w:nsid w:val="2F2E2FF1"/>
    <w:multiLevelType w:val="hybridMultilevel"/>
    <w:tmpl w:val="C6567008"/>
    <w:lvl w:ilvl="0" w:tplc="95207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D0878"/>
    <w:multiLevelType w:val="hybridMultilevel"/>
    <w:tmpl w:val="EAEAC464"/>
    <w:lvl w:ilvl="0" w:tplc="9F3064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76237"/>
    <w:multiLevelType w:val="hybridMultilevel"/>
    <w:tmpl w:val="CD4A4D8A"/>
    <w:lvl w:ilvl="0" w:tplc="50EE2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03AA7"/>
    <w:multiLevelType w:val="hybridMultilevel"/>
    <w:tmpl w:val="6C56A412"/>
    <w:lvl w:ilvl="0" w:tplc="A1E097A8">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5429"/>
    <w:multiLevelType w:val="hybridMultilevel"/>
    <w:tmpl w:val="F9C458FA"/>
    <w:lvl w:ilvl="0" w:tplc="5D3C44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49D10859"/>
    <w:multiLevelType w:val="hybridMultilevel"/>
    <w:tmpl w:val="FBC0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B1F88"/>
    <w:multiLevelType w:val="hybridMultilevel"/>
    <w:tmpl w:val="9B84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B26E1"/>
    <w:multiLevelType w:val="hybridMultilevel"/>
    <w:tmpl w:val="971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C724E"/>
    <w:multiLevelType w:val="hybridMultilevel"/>
    <w:tmpl w:val="34285154"/>
    <w:lvl w:ilvl="0" w:tplc="DEF84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C566EE"/>
    <w:multiLevelType w:val="hybridMultilevel"/>
    <w:tmpl w:val="C7EE7006"/>
    <w:lvl w:ilvl="0" w:tplc="816A5720">
      <w:start w:val="100"/>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A016B"/>
    <w:multiLevelType w:val="hybridMultilevel"/>
    <w:tmpl w:val="80FA6CC2"/>
    <w:lvl w:ilvl="0" w:tplc="88187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4337C"/>
    <w:multiLevelType w:val="hybridMultilevel"/>
    <w:tmpl w:val="03EE102C"/>
    <w:lvl w:ilvl="0" w:tplc="C1706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F3349"/>
    <w:multiLevelType w:val="hybridMultilevel"/>
    <w:tmpl w:val="454002EA"/>
    <w:lvl w:ilvl="0" w:tplc="28FA47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427541"/>
    <w:multiLevelType w:val="hybridMultilevel"/>
    <w:tmpl w:val="4A3E8810"/>
    <w:lvl w:ilvl="0" w:tplc="ED08D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45D4B"/>
    <w:multiLevelType w:val="hybridMultilevel"/>
    <w:tmpl w:val="0D6A0526"/>
    <w:lvl w:ilvl="0" w:tplc="936E6D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4E3CBE"/>
    <w:multiLevelType w:val="hybridMultilevel"/>
    <w:tmpl w:val="31DC1AAC"/>
    <w:lvl w:ilvl="0" w:tplc="262E0E2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F10"/>
    <w:multiLevelType w:val="hybridMultilevel"/>
    <w:tmpl w:val="0B8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D5139"/>
    <w:multiLevelType w:val="hybridMultilevel"/>
    <w:tmpl w:val="15722F94"/>
    <w:lvl w:ilvl="0" w:tplc="2FE6DD3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4357F"/>
    <w:multiLevelType w:val="hybridMultilevel"/>
    <w:tmpl w:val="7F820FB8"/>
    <w:lvl w:ilvl="0" w:tplc="BD86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F86093"/>
    <w:multiLevelType w:val="hybridMultilevel"/>
    <w:tmpl w:val="41C6B842"/>
    <w:lvl w:ilvl="0" w:tplc="3A0AE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397509">
    <w:abstractNumId w:val="11"/>
  </w:num>
  <w:num w:numId="2" w16cid:durableId="1632976608">
    <w:abstractNumId w:val="0"/>
  </w:num>
  <w:num w:numId="3" w16cid:durableId="1291546288">
    <w:abstractNumId w:val="5"/>
  </w:num>
  <w:num w:numId="4" w16cid:durableId="1967733930">
    <w:abstractNumId w:val="17"/>
  </w:num>
  <w:num w:numId="5" w16cid:durableId="879317830">
    <w:abstractNumId w:val="18"/>
  </w:num>
  <w:num w:numId="6" w16cid:durableId="2145460945">
    <w:abstractNumId w:val="13"/>
  </w:num>
  <w:num w:numId="7" w16cid:durableId="1022390601">
    <w:abstractNumId w:val="5"/>
  </w:num>
  <w:num w:numId="8" w16cid:durableId="1001933344">
    <w:abstractNumId w:val="5"/>
  </w:num>
  <w:num w:numId="9" w16cid:durableId="2070490373">
    <w:abstractNumId w:val="5"/>
  </w:num>
  <w:num w:numId="10" w16cid:durableId="2052456814">
    <w:abstractNumId w:val="5"/>
  </w:num>
  <w:num w:numId="11" w16cid:durableId="1377467292">
    <w:abstractNumId w:val="5"/>
  </w:num>
  <w:num w:numId="12" w16cid:durableId="856384948">
    <w:abstractNumId w:val="0"/>
  </w:num>
  <w:num w:numId="13" w16cid:durableId="1769807156">
    <w:abstractNumId w:val="0"/>
  </w:num>
  <w:num w:numId="14" w16cid:durableId="156238301">
    <w:abstractNumId w:val="0"/>
  </w:num>
  <w:num w:numId="15" w16cid:durableId="1030254564">
    <w:abstractNumId w:val="0"/>
  </w:num>
  <w:num w:numId="16" w16cid:durableId="1668289254">
    <w:abstractNumId w:val="0"/>
  </w:num>
  <w:num w:numId="17" w16cid:durableId="217012872">
    <w:abstractNumId w:val="5"/>
  </w:num>
  <w:num w:numId="18" w16cid:durableId="1099835327">
    <w:abstractNumId w:val="26"/>
  </w:num>
  <w:num w:numId="19" w16cid:durableId="1124229792">
    <w:abstractNumId w:val="12"/>
  </w:num>
  <w:num w:numId="20" w16cid:durableId="452215401">
    <w:abstractNumId w:val="3"/>
  </w:num>
  <w:num w:numId="21" w16cid:durableId="1759053865">
    <w:abstractNumId w:val="1"/>
  </w:num>
  <w:num w:numId="22" w16cid:durableId="1734501503">
    <w:abstractNumId w:val="14"/>
  </w:num>
  <w:num w:numId="23" w16cid:durableId="1964925376">
    <w:abstractNumId w:val="15"/>
  </w:num>
  <w:num w:numId="24" w16cid:durableId="899096141">
    <w:abstractNumId w:val="27"/>
  </w:num>
  <w:num w:numId="25" w16cid:durableId="1322201333">
    <w:abstractNumId w:val="28"/>
  </w:num>
  <w:num w:numId="26" w16cid:durableId="1011494750">
    <w:abstractNumId w:val="16"/>
  </w:num>
  <w:num w:numId="27" w16cid:durableId="1791167430">
    <w:abstractNumId w:val="6"/>
  </w:num>
  <w:num w:numId="28" w16cid:durableId="1951356948">
    <w:abstractNumId w:val="10"/>
  </w:num>
  <w:num w:numId="29" w16cid:durableId="1904370826">
    <w:abstractNumId w:val="20"/>
  </w:num>
  <w:num w:numId="30" w16cid:durableId="956527454">
    <w:abstractNumId w:val="8"/>
  </w:num>
  <w:num w:numId="31" w16cid:durableId="497385197">
    <w:abstractNumId w:val="22"/>
  </w:num>
  <w:num w:numId="32" w16cid:durableId="807744722">
    <w:abstractNumId w:val="25"/>
  </w:num>
  <w:num w:numId="33" w16cid:durableId="997079587">
    <w:abstractNumId w:val="2"/>
  </w:num>
  <w:num w:numId="34" w16cid:durableId="1958756714">
    <w:abstractNumId w:val="24"/>
  </w:num>
  <w:num w:numId="35" w16cid:durableId="180048684">
    <w:abstractNumId w:val="23"/>
  </w:num>
  <w:num w:numId="36" w16cid:durableId="1969506197">
    <w:abstractNumId w:val="4"/>
  </w:num>
  <w:num w:numId="37" w16cid:durableId="1033576882">
    <w:abstractNumId w:val="9"/>
  </w:num>
  <w:num w:numId="38" w16cid:durableId="33586132">
    <w:abstractNumId w:val="7"/>
  </w:num>
  <w:num w:numId="39" w16cid:durableId="386152742">
    <w:abstractNumId w:val="29"/>
  </w:num>
  <w:num w:numId="40" w16cid:durableId="1269005886">
    <w:abstractNumId w:val="21"/>
  </w:num>
  <w:num w:numId="41" w16cid:durableId="48621428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67"/>
    <w:rsid w:val="000062FC"/>
    <w:rsid w:val="00007628"/>
    <w:rsid w:val="000109A5"/>
    <w:rsid w:val="000124BA"/>
    <w:rsid w:val="0001627D"/>
    <w:rsid w:val="000235B3"/>
    <w:rsid w:val="00024C8B"/>
    <w:rsid w:val="00025ECB"/>
    <w:rsid w:val="00032DBC"/>
    <w:rsid w:val="00032DF0"/>
    <w:rsid w:val="00036FE1"/>
    <w:rsid w:val="0004068C"/>
    <w:rsid w:val="00041D46"/>
    <w:rsid w:val="00042AD9"/>
    <w:rsid w:val="00061507"/>
    <w:rsid w:val="00061E7C"/>
    <w:rsid w:val="00062D5A"/>
    <w:rsid w:val="00064583"/>
    <w:rsid w:val="000679C0"/>
    <w:rsid w:val="00071562"/>
    <w:rsid w:val="000717AC"/>
    <w:rsid w:val="000765A0"/>
    <w:rsid w:val="00080B53"/>
    <w:rsid w:val="00081503"/>
    <w:rsid w:val="00082524"/>
    <w:rsid w:val="0008293D"/>
    <w:rsid w:val="00084DB3"/>
    <w:rsid w:val="00085D17"/>
    <w:rsid w:val="00086570"/>
    <w:rsid w:val="000917DC"/>
    <w:rsid w:val="00091DD9"/>
    <w:rsid w:val="0009483D"/>
    <w:rsid w:val="00095EAC"/>
    <w:rsid w:val="00097C5A"/>
    <w:rsid w:val="000A79D8"/>
    <w:rsid w:val="000B172B"/>
    <w:rsid w:val="000B6F8C"/>
    <w:rsid w:val="000C1F45"/>
    <w:rsid w:val="000D2691"/>
    <w:rsid w:val="000D7712"/>
    <w:rsid w:val="000F012F"/>
    <w:rsid w:val="000F37A7"/>
    <w:rsid w:val="000F3F26"/>
    <w:rsid w:val="000F69AA"/>
    <w:rsid w:val="000F6B87"/>
    <w:rsid w:val="001004E8"/>
    <w:rsid w:val="00103C8C"/>
    <w:rsid w:val="00104F57"/>
    <w:rsid w:val="00105D2D"/>
    <w:rsid w:val="00106677"/>
    <w:rsid w:val="00120EDE"/>
    <w:rsid w:val="001244FB"/>
    <w:rsid w:val="0012494A"/>
    <w:rsid w:val="00127EFF"/>
    <w:rsid w:val="00134E85"/>
    <w:rsid w:val="00141B29"/>
    <w:rsid w:val="001465A5"/>
    <w:rsid w:val="00146EF4"/>
    <w:rsid w:val="00146F22"/>
    <w:rsid w:val="0014748E"/>
    <w:rsid w:val="001475CA"/>
    <w:rsid w:val="00147DDA"/>
    <w:rsid w:val="001513DB"/>
    <w:rsid w:val="001520AF"/>
    <w:rsid w:val="00152CBE"/>
    <w:rsid w:val="0015465B"/>
    <w:rsid w:val="0015650F"/>
    <w:rsid w:val="00160508"/>
    <w:rsid w:val="00164BF1"/>
    <w:rsid w:val="0016588F"/>
    <w:rsid w:val="00167C0A"/>
    <w:rsid w:val="00167C3F"/>
    <w:rsid w:val="00170E12"/>
    <w:rsid w:val="00172AC2"/>
    <w:rsid w:val="00172CCE"/>
    <w:rsid w:val="00172D52"/>
    <w:rsid w:val="00174F22"/>
    <w:rsid w:val="00180F0B"/>
    <w:rsid w:val="00183D96"/>
    <w:rsid w:val="00186AC4"/>
    <w:rsid w:val="0019053F"/>
    <w:rsid w:val="001918F6"/>
    <w:rsid w:val="001937D5"/>
    <w:rsid w:val="00193849"/>
    <w:rsid w:val="00195490"/>
    <w:rsid w:val="001A1EE8"/>
    <w:rsid w:val="001A3510"/>
    <w:rsid w:val="001A5DC1"/>
    <w:rsid w:val="001B4A1F"/>
    <w:rsid w:val="001C217B"/>
    <w:rsid w:val="001C7ADB"/>
    <w:rsid w:val="001D10A9"/>
    <w:rsid w:val="001D5621"/>
    <w:rsid w:val="001E096C"/>
    <w:rsid w:val="001E58F2"/>
    <w:rsid w:val="001E6FE3"/>
    <w:rsid w:val="001E7E4F"/>
    <w:rsid w:val="001F2BB4"/>
    <w:rsid w:val="001F6E0B"/>
    <w:rsid w:val="002000A0"/>
    <w:rsid w:val="00200438"/>
    <w:rsid w:val="00202B4A"/>
    <w:rsid w:val="00203500"/>
    <w:rsid w:val="00215CE4"/>
    <w:rsid w:val="0022254B"/>
    <w:rsid w:val="00222B96"/>
    <w:rsid w:val="0022397E"/>
    <w:rsid w:val="00226B48"/>
    <w:rsid w:val="00227B19"/>
    <w:rsid w:val="00231E61"/>
    <w:rsid w:val="00232C46"/>
    <w:rsid w:val="00243BB9"/>
    <w:rsid w:val="00243E44"/>
    <w:rsid w:val="002444F7"/>
    <w:rsid w:val="00244EF3"/>
    <w:rsid w:val="002471CA"/>
    <w:rsid w:val="00252112"/>
    <w:rsid w:val="0026153F"/>
    <w:rsid w:val="002618A7"/>
    <w:rsid w:val="00262075"/>
    <w:rsid w:val="00262979"/>
    <w:rsid w:val="00262A4A"/>
    <w:rsid w:val="00271BF3"/>
    <w:rsid w:val="00271D79"/>
    <w:rsid w:val="00272F52"/>
    <w:rsid w:val="002732F3"/>
    <w:rsid w:val="0027548B"/>
    <w:rsid w:val="0028397E"/>
    <w:rsid w:val="00296399"/>
    <w:rsid w:val="00296CCE"/>
    <w:rsid w:val="002A18E0"/>
    <w:rsid w:val="002A388B"/>
    <w:rsid w:val="002A4431"/>
    <w:rsid w:val="002B48FC"/>
    <w:rsid w:val="002B787C"/>
    <w:rsid w:val="002C5858"/>
    <w:rsid w:val="002C6049"/>
    <w:rsid w:val="002D3FC6"/>
    <w:rsid w:val="002D50DA"/>
    <w:rsid w:val="002D7216"/>
    <w:rsid w:val="002E2A35"/>
    <w:rsid w:val="002E393D"/>
    <w:rsid w:val="002E77F6"/>
    <w:rsid w:val="002F2168"/>
    <w:rsid w:val="002F3876"/>
    <w:rsid w:val="00302F15"/>
    <w:rsid w:val="00304A56"/>
    <w:rsid w:val="00310897"/>
    <w:rsid w:val="00315373"/>
    <w:rsid w:val="00317BC3"/>
    <w:rsid w:val="00330851"/>
    <w:rsid w:val="0033781F"/>
    <w:rsid w:val="003413C4"/>
    <w:rsid w:val="003418A8"/>
    <w:rsid w:val="003425DB"/>
    <w:rsid w:val="003430FD"/>
    <w:rsid w:val="003505E6"/>
    <w:rsid w:val="003519D1"/>
    <w:rsid w:val="00353583"/>
    <w:rsid w:val="00362F62"/>
    <w:rsid w:val="00364F0E"/>
    <w:rsid w:val="00366762"/>
    <w:rsid w:val="00372C78"/>
    <w:rsid w:val="00374E4C"/>
    <w:rsid w:val="00375BE5"/>
    <w:rsid w:val="003808A6"/>
    <w:rsid w:val="0038334E"/>
    <w:rsid w:val="00384C96"/>
    <w:rsid w:val="003859AC"/>
    <w:rsid w:val="00392673"/>
    <w:rsid w:val="0039419C"/>
    <w:rsid w:val="00395229"/>
    <w:rsid w:val="003A273C"/>
    <w:rsid w:val="003A463C"/>
    <w:rsid w:val="003A579B"/>
    <w:rsid w:val="003B2FE9"/>
    <w:rsid w:val="003B4D0F"/>
    <w:rsid w:val="003B6199"/>
    <w:rsid w:val="003C2264"/>
    <w:rsid w:val="003C4EAA"/>
    <w:rsid w:val="003D319E"/>
    <w:rsid w:val="003D5A63"/>
    <w:rsid w:val="003D5D51"/>
    <w:rsid w:val="003E49CF"/>
    <w:rsid w:val="003E7906"/>
    <w:rsid w:val="004023A6"/>
    <w:rsid w:val="00404C06"/>
    <w:rsid w:val="004056D4"/>
    <w:rsid w:val="004076A5"/>
    <w:rsid w:val="00407E91"/>
    <w:rsid w:val="004104BB"/>
    <w:rsid w:val="00410B61"/>
    <w:rsid w:val="00410CBE"/>
    <w:rsid w:val="00412EE3"/>
    <w:rsid w:val="00420B35"/>
    <w:rsid w:val="00423A64"/>
    <w:rsid w:val="00443B66"/>
    <w:rsid w:val="004452BD"/>
    <w:rsid w:val="00454D05"/>
    <w:rsid w:val="00454EA5"/>
    <w:rsid w:val="0047381D"/>
    <w:rsid w:val="00477353"/>
    <w:rsid w:val="00483DBE"/>
    <w:rsid w:val="004915D6"/>
    <w:rsid w:val="00491A7B"/>
    <w:rsid w:val="00491B3D"/>
    <w:rsid w:val="00495099"/>
    <w:rsid w:val="00497A38"/>
    <w:rsid w:val="00497C81"/>
    <w:rsid w:val="004A065A"/>
    <w:rsid w:val="004A09A7"/>
    <w:rsid w:val="004A0D5D"/>
    <w:rsid w:val="004A4E76"/>
    <w:rsid w:val="004A66DB"/>
    <w:rsid w:val="004B0612"/>
    <w:rsid w:val="004B3398"/>
    <w:rsid w:val="004B6757"/>
    <w:rsid w:val="004C40F8"/>
    <w:rsid w:val="004C5381"/>
    <w:rsid w:val="004C6B6B"/>
    <w:rsid w:val="004D0FCD"/>
    <w:rsid w:val="004E7379"/>
    <w:rsid w:val="004E7C2A"/>
    <w:rsid w:val="004F0384"/>
    <w:rsid w:val="004F2E0F"/>
    <w:rsid w:val="004F3302"/>
    <w:rsid w:val="004F434A"/>
    <w:rsid w:val="004F553A"/>
    <w:rsid w:val="00500835"/>
    <w:rsid w:val="00501946"/>
    <w:rsid w:val="00502984"/>
    <w:rsid w:val="00507332"/>
    <w:rsid w:val="0050788A"/>
    <w:rsid w:val="00507E90"/>
    <w:rsid w:val="0051081E"/>
    <w:rsid w:val="0051578B"/>
    <w:rsid w:val="00516AF1"/>
    <w:rsid w:val="00521A6D"/>
    <w:rsid w:val="00521E08"/>
    <w:rsid w:val="00523065"/>
    <w:rsid w:val="0052426E"/>
    <w:rsid w:val="005251B0"/>
    <w:rsid w:val="005279F2"/>
    <w:rsid w:val="005300F4"/>
    <w:rsid w:val="005352A9"/>
    <w:rsid w:val="00542A92"/>
    <w:rsid w:val="00544E6F"/>
    <w:rsid w:val="00547E35"/>
    <w:rsid w:val="005525AF"/>
    <w:rsid w:val="00553C0A"/>
    <w:rsid w:val="00562BC2"/>
    <w:rsid w:val="00565668"/>
    <w:rsid w:val="00580FC7"/>
    <w:rsid w:val="0058178A"/>
    <w:rsid w:val="005909F3"/>
    <w:rsid w:val="00592677"/>
    <w:rsid w:val="005931B5"/>
    <w:rsid w:val="00596E64"/>
    <w:rsid w:val="005A1C5C"/>
    <w:rsid w:val="005A1FEA"/>
    <w:rsid w:val="005A6B78"/>
    <w:rsid w:val="005B0FD8"/>
    <w:rsid w:val="005B202E"/>
    <w:rsid w:val="005B3136"/>
    <w:rsid w:val="005B38C8"/>
    <w:rsid w:val="005B4472"/>
    <w:rsid w:val="005C118D"/>
    <w:rsid w:val="005C2711"/>
    <w:rsid w:val="005D618A"/>
    <w:rsid w:val="005E30DA"/>
    <w:rsid w:val="005F226E"/>
    <w:rsid w:val="00602FDA"/>
    <w:rsid w:val="00606499"/>
    <w:rsid w:val="0061017A"/>
    <w:rsid w:val="00611309"/>
    <w:rsid w:val="00612DF2"/>
    <w:rsid w:val="006132DE"/>
    <w:rsid w:val="00620BA9"/>
    <w:rsid w:val="00621D8C"/>
    <w:rsid w:val="00627E8F"/>
    <w:rsid w:val="00631070"/>
    <w:rsid w:val="00632AC9"/>
    <w:rsid w:val="00635755"/>
    <w:rsid w:val="00635E54"/>
    <w:rsid w:val="006404CE"/>
    <w:rsid w:val="00643A7A"/>
    <w:rsid w:val="00662353"/>
    <w:rsid w:val="00662F22"/>
    <w:rsid w:val="00667E2B"/>
    <w:rsid w:val="00671650"/>
    <w:rsid w:val="0067558B"/>
    <w:rsid w:val="00676C94"/>
    <w:rsid w:val="00681EDC"/>
    <w:rsid w:val="00687F67"/>
    <w:rsid w:val="006962FB"/>
    <w:rsid w:val="006974B0"/>
    <w:rsid w:val="006A0271"/>
    <w:rsid w:val="006A0FE0"/>
    <w:rsid w:val="006A2192"/>
    <w:rsid w:val="006A4E2E"/>
    <w:rsid w:val="006A53DE"/>
    <w:rsid w:val="006B23FE"/>
    <w:rsid w:val="006B6121"/>
    <w:rsid w:val="006C3DA4"/>
    <w:rsid w:val="006C49E9"/>
    <w:rsid w:val="006C6AEA"/>
    <w:rsid w:val="006C7C77"/>
    <w:rsid w:val="006D24EB"/>
    <w:rsid w:val="006D3043"/>
    <w:rsid w:val="006D3461"/>
    <w:rsid w:val="006D3866"/>
    <w:rsid w:val="006E168C"/>
    <w:rsid w:val="006E1F93"/>
    <w:rsid w:val="006E48CB"/>
    <w:rsid w:val="006E628D"/>
    <w:rsid w:val="006F2C72"/>
    <w:rsid w:val="006F32C9"/>
    <w:rsid w:val="006F4183"/>
    <w:rsid w:val="006F4FF1"/>
    <w:rsid w:val="007050D0"/>
    <w:rsid w:val="00713FB3"/>
    <w:rsid w:val="00715A47"/>
    <w:rsid w:val="00717E34"/>
    <w:rsid w:val="0072393D"/>
    <w:rsid w:val="007328F4"/>
    <w:rsid w:val="0073682E"/>
    <w:rsid w:val="00737A20"/>
    <w:rsid w:val="00741AB8"/>
    <w:rsid w:val="00743033"/>
    <w:rsid w:val="00745236"/>
    <w:rsid w:val="007465DE"/>
    <w:rsid w:val="00746ED8"/>
    <w:rsid w:val="00747361"/>
    <w:rsid w:val="00752F15"/>
    <w:rsid w:val="00763B58"/>
    <w:rsid w:val="0076456C"/>
    <w:rsid w:val="0076774C"/>
    <w:rsid w:val="00770CC2"/>
    <w:rsid w:val="00771506"/>
    <w:rsid w:val="0077318B"/>
    <w:rsid w:val="00776F17"/>
    <w:rsid w:val="00787801"/>
    <w:rsid w:val="00795236"/>
    <w:rsid w:val="00796DB0"/>
    <w:rsid w:val="007A0682"/>
    <w:rsid w:val="007A3511"/>
    <w:rsid w:val="007B7E32"/>
    <w:rsid w:val="007D49EB"/>
    <w:rsid w:val="007D5244"/>
    <w:rsid w:val="007D5AE7"/>
    <w:rsid w:val="007D6C4A"/>
    <w:rsid w:val="007E02A8"/>
    <w:rsid w:val="007F0F64"/>
    <w:rsid w:val="007F2A5A"/>
    <w:rsid w:val="007F2D55"/>
    <w:rsid w:val="007F404E"/>
    <w:rsid w:val="007F44D2"/>
    <w:rsid w:val="007F4B7B"/>
    <w:rsid w:val="007F600A"/>
    <w:rsid w:val="00801E3C"/>
    <w:rsid w:val="00802097"/>
    <w:rsid w:val="00805337"/>
    <w:rsid w:val="008060B0"/>
    <w:rsid w:val="00812D14"/>
    <w:rsid w:val="00813303"/>
    <w:rsid w:val="00824C0E"/>
    <w:rsid w:val="0083192C"/>
    <w:rsid w:val="00833F05"/>
    <w:rsid w:val="00833F15"/>
    <w:rsid w:val="008411E9"/>
    <w:rsid w:val="00841216"/>
    <w:rsid w:val="00850A8B"/>
    <w:rsid w:val="00852547"/>
    <w:rsid w:val="00855BF3"/>
    <w:rsid w:val="00857721"/>
    <w:rsid w:val="00860333"/>
    <w:rsid w:val="00861A2A"/>
    <w:rsid w:val="008664DD"/>
    <w:rsid w:val="00867417"/>
    <w:rsid w:val="0087556A"/>
    <w:rsid w:val="00877A74"/>
    <w:rsid w:val="008829EC"/>
    <w:rsid w:val="0088756F"/>
    <w:rsid w:val="00887CB6"/>
    <w:rsid w:val="008957E2"/>
    <w:rsid w:val="00897550"/>
    <w:rsid w:val="008975EB"/>
    <w:rsid w:val="008A0031"/>
    <w:rsid w:val="008A261D"/>
    <w:rsid w:val="008A3447"/>
    <w:rsid w:val="008A5099"/>
    <w:rsid w:val="008B020C"/>
    <w:rsid w:val="008B0412"/>
    <w:rsid w:val="008B0863"/>
    <w:rsid w:val="008B50D5"/>
    <w:rsid w:val="008B7D8C"/>
    <w:rsid w:val="008D4624"/>
    <w:rsid w:val="008D6D5B"/>
    <w:rsid w:val="008E0B5F"/>
    <w:rsid w:val="008E29C6"/>
    <w:rsid w:val="008E6030"/>
    <w:rsid w:val="008F016E"/>
    <w:rsid w:val="008F04AF"/>
    <w:rsid w:val="008F1EA5"/>
    <w:rsid w:val="008F238E"/>
    <w:rsid w:val="008F446C"/>
    <w:rsid w:val="008F66BD"/>
    <w:rsid w:val="008F6C20"/>
    <w:rsid w:val="008F729C"/>
    <w:rsid w:val="009010CF"/>
    <w:rsid w:val="0090150D"/>
    <w:rsid w:val="00906F3E"/>
    <w:rsid w:val="00907344"/>
    <w:rsid w:val="00910EAD"/>
    <w:rsid w:val="00913759"/>
    <w:rsid w:val="00913A19"/>
    <w:rsid w:val="00920AC3"/>
    <w:rsid w:val="0093020A"/>
    <w:rsid w:val="00930C11"/>
    <w:rsid w:val="009363F2"/>
    <w:rsid w:val="00950594"/>
    <w:rsid w:val="009505A0"/>
    <w:rsid w:val="0095264D"/>
    <w:rsid w:val="00953586"/>
    <w:rsid w:val="009575A2"/>
    <w:rsid w:val="009637B8"/>
    <w:rsid w:val="00966524"/>
    <w:rsid w:val="00966FFB"/>
    <w:rsid w:val="009704CF"/>
    <w:rsid w:val="00970F22"/>
    <w:rsid w:val="00972EEE"/>
    <w:rsid w:val="00972F88"/>
    <w:rsid w:val="009760E9"/>
    <w:rsid w:val="009828BD"/>
    <w:rsid w:val="009839E6"/>
    <w:rsid w:val="00984BFB"/>
    <w:rsid w:val="009854A8"/>
    <w:rsid w:val="00985A04"/>
    <w:rsid w:val="00987A56"/>
    <w:rsid w:val="00993645"/>
    <w:rsid w:val="00996A3F"/>
    <w:rsid w:val="00997CD5"/>
    <w:rsid w:val="009A5CC7"/>
    <w:rsid w:val="009B29B7"/>
    <w:rsid w:val="009B3060"/>
    <w:rsid w:val="009D0C1C"/>
    <w:rsid w:val="009D1484"/>
    <w:rsid w:val="009D1B93"/>
    <w:rsid w:val="009D1F00"/>
    <w:rsid w:val="009D4C84"/>
    <w:rsid w:val="00A0020C"/>
    <w:rsid w:val="00A0572A"/>
    <w:rsid w:val="00A06F88"/>
    <w:rsid w:val="00A120B0"/>
    <w:rsid w:val="00A1289E"/>
    <w:rsid w:val="00A15798"/>
    <w:rsid w:val="00A3109E"/>
    <w:rsid w:val="00A3174A"/>
    <w:rsid w:val="00A455E2"/>
    <w:rsid w:val="00A465C0"/>
    <w:rsid w:val="00A50B45"/>
    <w:rsid w:val="00A5169E"/>
    <w:rsid w:val="00A540F0"/>
    <w:rsid w:val="00A54332"/>
    <w:rsid w:val="00A54D04"/>
    <w:rsid w:val="00A56E08"/>
    <w:rsid w:val="00A56F14"/>
    <w:rsid w:val="00A61FCF"/>
    <w:rsid w:val="00A6393D"/>
    <w:rsid w:val="00A67B9A"/>
    <w:rsid w:val="00A70264"/>
    <w:rsid w:val="00A73600"/>
    <w:rsid w:val="00A73C7E"/>
    <w:rsid w:val="00A8198B"/>
    <w:rsid w:val="00A833A6"/>
    <w:rsid w:val="00A90AD0"/>
    <w:rsid w:val="00A9165D"/>
    <w:rsid w:val="00A944F5"/>
    <w:rsid w:val="00A94622"/>
    <w:rsid w:val="00AA0748"/>
    <w:rsid w:val="00AA2CE0"/>
    <w:rsid w:val="00AB6A8E"/>
    <w:rsid w:val="00AB7D9F"/>
    <w:rsid w:val="00AC0436"/>
    <w:rsid w:val="00AC71D9"/>
    <w:rsid w:val="00AD0AA9"/>
    <w:rsid w:val="00AD5AFB"/>
    <w:rsid w:val="00AD676B"/>
    <w:rsid w:val="00AE42C9"/>
    <w:rsid w:val="00AE447B"/>
    <w:rsid w:val="00AE5713"/>
    <w:rsid w:val="00AF4D1E"/>
    <w:rsid w:val="00AF7593"/>
    <w:rsid w:val="00B0142E"/>
    <w:rsid w:val="00B11804"/>
    <w:rsid w:val="00B140A6"/>
    <w:rsid w:val="00B1454D"/>
    <w:rsid w:val="00B15129"/>
    <w:rsid w:val="00B15849"/>
    <w:rsid w:val="00B159B5"/>
    <w:rsid w:val="00B2020E"/>
    <w:rsid w:val="00B20DE6"/>
    <w:rsid w:val="00B20F4E"/>
    <w:rsid w:val="00B23A98"/>
    <w:rsid w:val="00B23F63"/>
    <w:rsid w:val="00B24081"/>
    <w:rsid w:val="00B26A2D"/>
    <w:rsid w:val="00B33334"/>
    <w:rsid w:val="00B34894"/>
    <w:rsid w:val="00B518D7"/>
    <w:rsid w:val="00B522D1"/>
    <w:rsid w:val="00B62580"/>
    <w:rsid w:val="00B65D99"/>
    <w:rsid w:val="00B700DA"/>
    <w:rsid w:val="00B711D0"/>
    <w:rsid w:val="00B73207"/>
    <w:rsid w:val="00B73BBF"/>
    <w:rsid w:val="00B75CE5"/>
    <w:rsid w:val="00B9070F"/>
    <w:rsid w:val="00B94938"/>
    <w:rsid w:val="00BA1020"/>
    <w:rsid w:val="00BA1744"/>
    <w:rsid w:val="00BA2F14"/>
    <w:rsid w:val="00BA4053"/>
    <w:rsid w:val="00BB167D"/>
    <w:rsid w:val="00BB38E4"/>
    <w:rsid w:val="00BB6152"/>
    <w:rsid w:val="00BC5099"/>
    <w:rsid w:val="00BD00D4"/>
    <w:rsid w:val="00BD0E6D"/>
    <w:rsid w:val="00BD3475"/>
    <w:rsid w:val="00BD3C48"/>
    <w:rsid w:val="00BD4843"/>
    <w:rsid w:val="00BD537D"/>
    <w:rsid w:val="00BE0982"/>
    <w:rsid w:val="00BE19C1"/>
    <w:rsid w:val="00BE2843"/>
    <w:rsid w:val="00BE433D"/>
    <w:rsid w:val="00BE5635"/>
    <w:rsid w:val="00BF0CFE"/>
    <w:rsid w:val="00BF53FA"/>
    <w:rsid w:val="00BF6A25"/>
    <w:rsid w:val="00C06C8E"/>
    <w:rsid w:val="00C12512"/>
    <w:rsid w:val="00C16843"/>
    <w:rsid w:val="00C17AEF"/>
    <w:rsid w:val="00C20E59"/>
    <w:rsid w:val="00C24ED6"/>
    <w:rsid w:val="00C265C5"/>
    <w:rsid w:val="00C270C7"/>
    <w:rsid w:val="00C30320"/>
    <w:rsid w:val="00C32D6B"/>
    <w:rsid w:val="00C3622B"/>
    <w:rsid w:val="00C40E0B"/>
    <w:rsid w:val="00C4410A"/>
    <w:rsid w:val="00C44409"/>
    <w:rsid w:val="00C47956"/>
    <w:rsid w:val="00C504B5"/>
    <w:rsid w:val="00C51618"/>
    <w:rsid w:val="00C545C7"/>
    <w:rsid w:val="00C55861"/>
    <w:rsid w:val="00C56FC8"/>
    <w:rsid w:val="00C607AF"/>
    <w:rsid w:val="00C63977"/>
    <w:rsid w:val="00C63B26"/>
    <w:rsid w:val="00C7115C"/>
    <w:rsid w:val="00C7223C"/>
    <w:rsid w:val="00C743EC"/>
    <w:rsid w:val="00C753CA"/>
    <w:rsid w:val="00C83D59"/>
    <w:rsid w:val="00C84201"/>
    <w:rsid w:val="00C87701"/>
    <w:rsid w:val="00C87D87"/>
    <w:rsid w:val="00C957C2"/>
    <w:rsid w:val="00C95E98"/>
    <w:rsid w:val="00C96346"/>
    <w:rsid w:val="00CA0858"/>
    <w:rsid w:val="00CA3A60"/>
    <w:rsid w:val="00CA426A"/>
    <w:rsid w:val="00CB0F31"/>
    <w:rsid w:val="00CB60AC"/>
    <w:rsid w:val="00CB6ACC"/>
    <w:rsid w:val="00CC01D7"/>
    <w:rsid w:val="00CC14F4"/>
    <w:rsid w:val="00CD0B51"/>
    <w:rsid w:val="00CD1DF7"/>
    <w:rsid w:val="00CD5223"/>
    <w:rsid w:val="00CE01F4"/>
    <w:rsid w:val="00CE103F"/>
    <w:rsid w:val="00CF1116"/>
    <w:rsid w:val="00CF3BAA"/>
    <w:rsid w:val="00D003C5"/>
    <w:rsid w:val="00D02B4A"/>
    <w:rsid w:val="00D0469D"/>
    <w:rsid w:val="00D110E9"/>
    <w:rsid w:val="00D14A8E"/>
    <w:rsid w:val="00D15703"/>
    <w:rsid w:val="00D22A2B"/>
    <w:rsid w:val="00D3173B"/>
    <w:rsid w:val="00D31ACF"/>
    <w:rsid w:val="00D331A5"/>
    <w:rsid w:val="00D36AB2"/>
    <w:rsid w:val="00D37F6E"/>
    <w:rsid w:val="00D37FEC"/>
    <w:rsid w:val="00D44FC5"/>
    <w:rsid w:val="00D47C18"/>
    <w:rsid w:val="00D50CE5"/>
    <w:rsid w:val="00D52A67"/>
    <w:rsid w:val="00D57F26"/>
    <w:rsid w:val="00D603D8"/>
    <w:rsid w:val="00D651ED"/>
    <w:rsid w:val="00D65419"/>
    <w:rsid w:val="00D65BC1"/>
    <w:rsid w:val="00D7177B"/>
    <w:rsid w:val="00D75FCF"/>
    <w:rsid w:val="00D80996"/>
    <w:rsid w:val="00D8281B"/>
    <w:rsid w:val="00D83F3D"/>
    <w:rsid w:val="00D90A3D"/>
    <w:rsid w:val="00D93335"/>
    <w:rsid w:val="00DA3584"/>
    <w:rsid w:val="00DA5801"/>
    <w:rsid w:val="00DA60C0"/>
    <w:rsid w:val="00DA66C5"/>
    <w:rsid w:val="00DB41E3"/>
    <w:rsid w:val="00DB42B2"/>
    <w:rsid w:val="00DB5E1D"/>
    <w:rsid w:val="00DB6E0F"/>
    <w:rsid w:val="00DC70FD"/>
    <w:rsid w:val="00DC72AB"/>
    <w:rsid w:val="00DC76CB"/>
    <w:rsid w:val="00DD26AB"/>
    <w:rsid w:val="00DD523B"/>
    <w:rsid w:val="00DD7E99"/>
    <w:rsid w:val="00DE23D0"/>
    <w:rsid w:val="00DE2C25"/>
    <w:rsid w:val="00DE6F9A"/>
    <w:rsid w:val="00DE7680"/>
    <w:rsid w:val="00DE7779"/>
    <w:rsid w:val="00DF389B"/>
    <w:rsid w:val="00E02ADC"/>
    <w:rsid w:val="00E03FC6"/>
    <w:rsid w:val="00E06306"/>
    <w:rsid w:val="00E16767"/>
    <w:rsid w:val="00E168C3"/>
    <w:rsid w:val="00E16BD7"/>
    <w:rsid w:val="00E2122F"/>
    <w:rsid w:val="00E2275A"/>
    <w:rsid w:val="00E2695E"/>
    <w:rsid w:val="00E26FDD"/>
    <w:rsid w:val="00E33416"/>
    <w:rsid w:val="00E34C55"/>
    <w:rsid w:val="00E3552B"/>
    <w:rsid w:val="00E37A40"/>
    <w:rsid w:val="00E44115"/>
    <w:rsid w:val="00E443A3"/>
    <w:rsid w:val="00E4501F"/>
    <w:rsid w:val="00E45D5F"/>
    <w:rsid w:val="00E50660"/>
    <w:rsid w:val="00E55237"/>
    <w:rsid w:val="00E55A80"/>
    <w:rsid w:val="00E571FA"/>
    <w:rsid w:val="00E61BA0"/>
    <w:rsid w:val="00E62E57"/>
    <w:rsid w:val="00E70C16"/>
    <w:rsid w:val="00E719DC"/>
    <w:rsid w:val="00E7211F"/>
    <w:rsid w:val="00E753E8"/>
    <w:rsid w:val="00E75683"/>
    <w:rsid w:val="00E77D9C"/>
    <w:rsid w:val="00E8130F"/>
    <w:rsid w:val="00E827FA"/>
    <w:rsid w:val="00E831C5"/>
    <w:rsid w:val="00E84233"/>
    <w:rsid w:val="00E84930"/>
    <w:rsid w:val="00E85C4F"/>
    <w:rsid w:val="00E929FA"/>
    <w:rsid w:val="00EA36C0"/>
    <w:rsid w:val="00EA4F12"/>
    <w:rsid w:val="00EA5F22"/>
    <w:rsid w:val="00EB1ECD"/>
    <w:rsid w:val="00EB204B"/>
    <w:rsid w:val="00EB5F3A"/>
    <w:rsid w:val="00EB6095"/>
    <w:rsid w:val="00EB7ABC"/>
    <w:rsid w:val="00EC3171"/>
    <w:rsid w:val="00EC31F8"/>
    <w:rsid w:val="00EC73EB"/>
    <w:rsid w:val="00ED4724"/>
    <w:rsid w:val="00ED677E"/>
    <w:rsid w:val="00ED7D47"/>
    <w:rsid w:val="00EE1A2E"/>
    <w:rsid w:val="00EE2BDA"/>
    <w:rsid w:val="00EE572E"/>
    <w:rsid w:val="00EF0598"/>
    <w:rsid w:val="00EF3BAA"/>
    <w:rsid w:val="00EF7529"/>
    <w:rsid w:val="00F0063B"/>
    <w:rsid w:val="00F0100A"/>
    <w:rsid w:val="00F040A3"/>
    <w:rsid w:val="00F0445A"/>
    <w:rsid w:val="00F04FC4"/>
    <w:rsid w:val="00F12795"/>
    <w:rsid w:val="00F147ED"/>
    <w:rsid w:val="00F2616C"/>
    <w:rsid w:val="00F27178"/>
    <w:rsid w:val="00F3175C"/>
    <w:rsid w:val="00F34C25"/>
    <w:rsid w:val="00F34E04"/>
    <w:rsid w:val="00F34EDE"/>
    <w:rsid w:val="00F35BB2"/>
    <w:rsid w:val="00F35C08"/>
    <w:rsid w:val="00F36C39"/>
    <w:rsid w:val="00F37908"/>
    <w:rsid w:val="00F37C90"/>
    <w:rsid w:val="00F4074C"/>
    <w:rsid w:val="00F40B23"/>
    <w:rsid w:val="00F40DA3"/>
    <w:rsid w:val="00F460B9"/>
    <w:rsid w:val="00F47B26"/>
    <w:rsid w:val="00F52018"/>
    <w:rsid w:val="00F531CA"/>
    <w:rsid w:val="00F53447"/>
    <w:rsid w:val="00F60F30"/>
    <w:rsid w:val="00F639C6"/>
    <w:rsid w:val="00F63D25"/>
    <w:rsid w:val="00F650C0"/>
    <w:rsid w:val="00F742D4"/>
    <w:rsid w:val="00F83201"/>
    <w:rsid w:val="00F84168"/>
    <w:rsid w:val="00F8632F"/>
    <w:rsid w:val="00F87EC1"/>
    <w:rsid w:val="00F9350D"/>
    <w:rsid w:val="00F94959"/>
    <w:rsid w:val="00F97571"/>
    <w:rsid w:val="00FA1970"/>
    <w:rsid w:val="00FA2ABC"/>
    <w:rsid w:val="00FA3EEC"/>
    <w:rsid w:val="00FA61FC"/>
    <w:rsid w:val="00FA70A5"/>
    <w:rsid w:val="00FB0DAC"/>
    <w:rsid w:val="00FB1467"/>
    <w:rsid w:val="00FB218D"/>
    <w:rsid w:val="00FC2390"/>
    <w:rsid w:val="00FD098C"/>
    <w:rsid w:val="00FD121C"/>
    <w:rsid w:val="00FD264A"/>
    <w:rsid w:val="00FE004F"/>
    <w:rsid w:val="00FE0E13"/>
    <w:rsid w:val="00FE1405"/>
    <w:rsid w:val="00FE2582"/>
    <w:rsid w:val="00FE3815"/>
    <w:rsid w:val="00FE3B40"/>
    <w:rsid w:val="00FE45B7"/>
    <w:rsid w:val="00FE6E68"/>
    <w:rsid w:val="00FE7DE3"/>
    <w:rsid w:val="00FF57B2"/>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4543"/>
  <w15:docId w15:val="{C9C9D49B-1184-4930-A6A4-FF0B9E09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30"/>
    <w:pPr>
      <w:spacing w:before="180"/>
    </w:pPr>
    <w:rPr>
      <w:rFonts w:ascii="Arial" w:hAnsi="Arial" w:cs="Arial"/>
      <w:sz w:val="21"/>
      <w:szCs w:val="21"/>
    </w:rPr>
  </w:style>
  <w:style w:type="paragraph" w:styleId="Heading1">
    <w:name w:val="heading 1"/>
    <w:next w:val="Normal"/>
    <w:link w:val="Heading1Char"/>
    <w:rsid w:val="00E84930"/>
    <w:pPr>
      <w:keepNext/>
      <w:numPr>
        <w:numId w:val="1"/>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E84930"/>
    <w:pPr>
      <w:numPr>
        <w:numId w:val="0"/>
      </w:numPr>
      <w:spacing w:after="120"/>
      <w:outlineLvl w:val="1"/>
    </w:pPr>
    <w:rPr>
      <w:sz w:val="32"/>
    </w:rPr>
  </w:style>
  <w:style w:type="paragraph" w:styleId="Heading3">
    <w:name w:val="heading 3"/>
    <w:basedOn w:val="Heading2"/>
    <w:next w:val="Normal"/>
    <w:link w:val="Heading3Char"/>
    <w:qFormat/>
    <w:rsid w:val="00E84930"/>
    <w:pPr>
      <w:tabs>
        <w:tab w:val="left" w:pos="567"/>
      </w:tabs>
      <w:outlineLvl w:val="2"/>
    </w:pPr>
    <w:rPr>
      <w:sz w:val="28"/>
    </w:rPr>
  </w:style>
  <w:style w:type="paragraph" w:styleId="Heading4">
    <w:name w:val="heading 4"/>
    <w:basedOn w:val="Heading3"/>
    <w:next w:val="Normal"/>
    <w:link w:val="Heading4Char"/>
    <w:rsid w:val="00E84930"/>
    <w:pPr>
      <w:adjustRightInd w:val="0"/>
      <w:spacing w:before="120"/>
      <w:outlineLvl w:val="3"/>
    </w:pPr>
    <w:rPr>
      <w:sz w:val="24"/>
    </w:rPr>
  </w:style>
  <w:style w:type="paragraph" w:styleId="Heading5">
    <w:name w:val="heading 5"/>
    <w:basedOn w:val="Heading4"/>
    <w:next w:val="Normal"/>
    <w:link w:val="Heading5Char"/>
    <w:rsid w:val="00E84930"/>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D3866"/>
    <w:pPr>
      <w:numPr>
        <w:numId w:val="17"/>
      </w:numPr>
      <w:tabs>
        <w:tab w:val="left" w:pos="1701"/>
      </w:tabs>
      <w:spacing w:before="120"/>
    </w:pPr>
  </w:style>
  <w:style w:type="paragraph" w:customStyle="1" w:styleId="ListNumbered">
    <w:name w:val="List Numbered"/>
    <w:basedOn w:val="Normal"/>
    <w:semiHidden/>
    <w:qFormat/>
    <w:rsid w:val="00E84930"/>
    <w:pPr>
      <w:spacing w:before="20" w:after="20"/>
      <w:ind w:left="360" w:hanging="360"/>
    </w:pPr>
  </w:style>
  <w:style w:type="character" w:customStyle="1" w:styleId="FooterChar">
    <w:name w:val="Footer Char"/>
    <w:link w:val="Footer"/>
    <w:rsid w:val="00E84930"/>
    <w:rPr>
      <w:rFonts w:ascii="Arial" w:hAnsi="Arial" w:cs="Arial"/>
      <w:sz w:val="14"/>
      <w:szCs w:val="21"/>
    </w:rPr>
  </w:style>
  <w:style w:type="character" w:customStyle="1" w:styleId="Heading1Char">
    <w:name w:val="Heading 1 Char"/>
    <w:link w:val="Heading1"/>
    <w:rsid w:val="00E84930"/>
    <w:rPr>
      <w:rFonts w:ascii="Arial" w:hAnsi="Arial" w:cs="Arial"/>
      <w:b/>
      <w:kern w:val="32"/>
      <w:sz w:val="36"/>
      <w:lang w:eastAsia="en-US"/>
    </w:rPr>
  </w:style>
  <w:style w:type="paragraph" w:styleId="Footer">
    <w:name w:val="footer"/>
    <w:basedOn w:val="Normal"/>
    <w:next w:val="Normal"/>
    <w:link w:val="FooterChar"/>
    <w:rsid w:val="00E84930"/>
    <w:rPr>
      <w:sz w:val="14"/>
    </w:rPr>
  </w:style>
  <w:style w:type="character" w:customStyle="1" w:styleId="Heading2Char">
    <w:name w:val="Heading 2 Char"/>
    <w:link w:val="Heading2"/>
    <w:rsid w:val="00E84930"/>
    <w:rPr>
      <w:rFonts w:ascii="Arial" w:hAnsi="Arial" w:cs="Arial"/>
      <w:b/>
      <w:kern w:val="32"/>
      <w:sz w:val="32"/>
      <w:lang w:eastAsia="en-US"/>
    </w:rPr>
  </w:style>
  <w:style w:type="paragraph" w:customStyle="1" w:styleId="Heading3numbered">
    <w:name w:val="Heading 3 numbered"/>
    <w:basedOn w:val="Heading3"/>
    <w:next w:val="Normal"/>
    <w:rsid w:val="00E84930"/>
    <w:pPr>
      <w:numPr>
        <w:ilvl w:val="2"/>
        <w:numId w:val="1"/>
      </w:numPr>
      <w:tabs>
        <w:tab w:val="clear" w:pos="567"/>
      </w:tabs>
    </w:pPr>
  </w:style>
  <w:style w:type="paragraph" w:customStyle="1" w:styleId="Heading4numbered">
    <w:name w:val="Heading 4 numbered"/>
    <w:basedOn w:val="Heading4"/>
    <w:next w:val="Normal"/>
    <w:rsid w:val="00E84930"/>
    <w:pPr>
      <w:numPr>
        <w:ilvl w:val="3"/>
        <w:numId w:val="1"/>
      </w:numPr>
      <w:tabs>
        <w:tab w:val="clear" w:pos="567"/>
      </w:tabs>
    </w:pPr>
  </w:style>
  <w:style w:type="paragraph" w:customStyle="1" w:styleId="Heading5numbered">
    <w:name w:val="Heading 5 numbered"/>
    <w:basedOn w:val="Heading5"/>
    <w:next w:val="Normal"/>
    <w:rsid w:val="00E84930"/>
    <w:pPr>
      <w:numPr>
        <w:ilvl w:val="4"/>
        <w:numId w:val="1"/>
      </w:numPr>
      <w:tabs>
        <w:tab w:val="clear" w:pos="567"/>
        <w:tab w:val="left" w:pos="1134"/>
      </w:tabs>
    </w:pPr>
  </w:style>
  <w:style w:type="character" w:customStyle="1" w:styleId="Heading3Char">
    <w:name w:val="Heading 3 Char"/>
    <w:link w:val="Heading3"/>
    <w:rsid w:val="00E84930"/>
    <w:rPr>
      <w:rFonts w:ascii="Arial" w:hAnsi="Arial" w:cs="Arial"/>
      <w:b/>
      <w:kern w:val="32"/>
      <w:sz w:val="28"/>
      <w:lang w:eastAsia="en-US"/>
    </w:rPr>
  </w:style>
  <w:style w:type="character" w:customStyle="1" w:styleId="Heading4Char">
    <w:name w:val="Heading 4 Char"/>
    <w:link w:val="Heading4"/>
    <w:rsid w:val="00E84930"/>
    <w:rPr>
      <w:rFonts w:ascii="Arial" w:hAnsi="Arial" w:cs="Arial"/>
      <w:b/>
      <w:kern w:val="32"/>
      <w:sz w:val="24"/>
      <w:lang w:eastAsia="en-US"/>
    </w:rPr>
  </w:style>
  <w:style w:type="character" w:customStyle="1" w:styleId="Heading5Char">
    <w:name w:val="Heading 5 Char"/>
    <w:link w:val="Heading5"/>
    <w:rsid w:val="00E84930"/>
    <w:rPr>
      <w:rFonts w:ascii="Arial" w:hAnsi="Arial" w:cs="Arial"/>
      <w:b/>
      <w:kern w:val="32"/>
      <w:sz w:val="21"/>
      <w:lang w:eastAsia="en-US"/>
    </w:rPr>
  </w:style>
  <w:style w:type="paragraph" w:customStyle="1" w:styleId="Normalindented">
    <w:name w:val="Normal indented"/>
    <w:basedOn w:val="Normal"/>
    <w:rsid w:val="00E84930"/>
    <w:pPr>
      <w:ind w:left="340"/>
    </w:pPr>
  </w:style>
  <w:style w:type="numbering" w:customStyle="1" w:styleId="Headings">
    <w:name w:val="Headings"/>
    <w:uiPriority w:val="99"/>
    <w:rsid w:val="00E84930"/>
    <w:pPr>
      <w:numPr>
        <w:numId w:val="1"/>
      </w:numPr>
    </w:pPr>
  </w:style>
  <w:style w:type="paragraph" w:styleId="ListParagraph">
    <w:name w:val="List Paragraph"/>
    <w:basedOn w:val="Normal"/>
    <w:uiPriority w:val="34"/>
    <w:semiHidden/>
    <w:qFormat/>
    <w:rsid w:val="00E84930"/>
    <w:pPr>
      <w:ind w:left="720"/>
      <w:contextualSpacing/>
    </w:pPr>
  </w:style>
  <w:style w:type="paragraph" w:styleId="ListBullet2">
    <w:name w:val="List Bullet 2"/>
    <w:basedOn w:val="Normal"/>
    <w:uiPriority w:val="99"/>
    <w:semiHidden/>
    <w:rsid w:val="006D3866"/>
    <w:pPr>
      <w:numPr>
        <w:ilvl w:val="1"/>
        <w:numId w:val="17"/>
      </w:numPr>
      <w:tabs>
        <w:tab w:val="left" w:pos="1021"/>
      </w:tabs>
      <w:spacing w:before="120"/>
    </w:pPr>
  </w:style>
  <w:style w:type="paragraph" w:styleId="ListBullet3">
    <w:name w:val="List Bullet 3"/>
    <w:basedOn w:val="Normal"/>
    <w:uiPriority w:val="99"/>
    <w:semiHidden/>
    <w:rsid w:val="004C5381"/>
    <w:pPr>
      <w:numPr>
        <w:ilvl w:val="2"/>
        <w:numId w:val="17"/>
      </w:numPr>
      <w:tabs>
        <w:tab w:val="left" w:pos="1021"/>
      </w:tabs>
      <w:spacing w:before="120"/>
    </w:pPr>
    <w:rPr>
      <w:rFonts w:cs="Times New Roman"/>
    </w:rPr>
  </w:style>
  <w:style w:type="paragraph" w:styleId="ListBullet4">
    <w:name w:val="List Bullet 4"/>
    <w:basedOn w:val="Normal"/>
    <w:uiPriority w:val="99"/>
    <w:semiHidden/>
    <w:rsid w:val="006D3866"/>
    <w:pPr>
      <w:numPr>
        <w:ilvl w:val="3"/>
        <w:numId w:val="17"/>
      </w:numPr>
      <w:spacing w:before="20" w:after="40"/>
    </w:pPr>
  </w:style>
  <w:style w:type="paragraph" w:styleId="ListBullet5">
    <w:name w:val="List Bullet 5"/>
    <w:basedOn w:val="Normal"/>
    <w:uiPriority w:val="99"/>
    <w:semiHidden/>
    <w:rsid w:val="006D3866"/>
    <w:pPr>
      <w:numPr>
        <w:ilvl w:val="4"/>
        <w:numId w:val="17"/>
      </w:numPr>
      <w:spacing w:before="20" w:after="40"/>
    </w:pPr>
  </w:style>
  <w:style w:type="numbering" w:customStyle="1" w:styleId="ListBullets">
    <w:name w:val="ListBullets"/>
    <w:uiPriority w:val="99"/>
    <w:rsid w:val="00E84930"/>
    <w:pPr>
      <w:numPr>
        <w:numId w:val="3"/>
      </w:numPr>
    </w:pPr>
  </w:style>
  <w:style w:type="paragraph" w:styleId="ListNumber">
    <w:name w:val="List Number"/>
    <w:basedOn w:val="Normal"/>
    <w:qFormat/>
    <w:rsid w:val="006D3866"/>
    <w:pPr>
      <w:numPr>
        <w:numId w:val="16"/>
      </w:numPr>
      <w:tabs>
        <w:tab w:val="left" w:pos="340"/>
        <w:tab w:val="left" w:pos="680"/>
        <w:tab w:val="left" w:pos="1021"/>
      </w:tabs>
      <w:spacing w:before="120"/>
    </w:pPr>
  </w:style>
  <w:style w:type="paragraph" w:styleId="ListNumber2">
    <w:name w:val="List Number 2"/>
    <w:basedOn w:val="Normal"/>
    <w:uiPriority w:val="99"/>
    <w:semiHidden/>
    <w:rsid w:val="006D3866"/>
    <w:pPr>
      <w:numPr>
        <w:ilvl w:val="1"/>
        <w:numId w:val="16"/>
      </w:numPr>
      <w:tabs>
        <w:tab w:val="left" w:pos="680"/>
        <w:tab w:val="left" w:pos="1021"/>
      </w:tabs>
      <w:spacing w:before="120"/>
    </w:pPr>
  </w:style>
  <w:style w:type="paragraph" w:styleId="ListNumber3">
    <w:name w:val="List Number 3"/>
    <w:basedOn w:val="Normal"/>
    <w:uiPriority w:val="99"/>
    <w:semiHidden/>
    <w:rsid w:val="006D3866"/>
    <w:pPr>
      <w:numPr>
        <w:ilvl w:val="2"/>
        <w:numId w:val="16"/>
      </w:numPr>
      <w:tabs>
        <w:tab w:val="left" w:pos="1021"/>
        <w:tab w:val="left" w:pos="1361"/>
      </w:tabs>
      <w:spacing w:before="120"/>
    </w:pPr>
  </w:style>
  <w:style w:type="paragraph" w:styleId="ListNumber4">
    <w:name w:val="List Number 4"/>
    <w:basedOn w:val="Normal"/>
    <w:uiPriority w:val="99"/>
    <w:semiHidden/>
    <w:rsid w:val="006D3866"/>
    <w:pPr>
      <w:numPr>
        <w:ilvl w:val="3"/>
        <w:numId w:val="16"/>
      </w:numPr>
      <w:spacing w:before="20" w:after="40"/>
    </w:pPr>
  </w:style>
  <w:style w:type="paragraph" w:styleId="ListNumber5">
    <w:name w:val="List Number 5"/>
    <w:basedOn w:val="Normal"/>
    <w:uiPriority w:val="99"/>
    <w:semiHidden/>
    <w:rsid w:val="006D3866"/>
    <w:pPr>
      <w:numPr>
        <w:ilvl w:val="4"/>
        <w:numId w:val="16"/>
      </w:numPr>
      <w:spacing w:before="20" w:after="40"/>
    </w:pPr>
  </w:style>
  <w:style w:type="numbering" w:customStyle="1" w:styleId="ListNumbers">
    <w:name w:val="ListNumbers"/>
    <w:uiPriority w:val="99"/>
    <w:rsid w:val="00E84930"/>
    <w:pPr>
      <w:numPr>
        <w:numId w:val="4"/>
      </w:numPr>
    </w:pPr>
  </w:style>
  <w:style w:type="paragraph" w:styleId="Header">
    <w:name w:val="header"/>
    <w:basedOn w:val="Normal"/>
    <w:link w:val="HeaderChar"/>
    <w:uiPriority w:val="99"/>
    <w:unhideWhenUsed/>
    <w:rsid w:val="00E84930"/>
    <w:pPr>
      <w:tabs>
        <w:tab w:val="center" w:pos="4513"/>
        <w:tab w:val="right" w:pos="9026"/>
      </w:tabs>
      <w:spacing w:before="0"/>
    </w:pPr>
  </w:style>
  <w:style w:type="character" w:customStyle="1" w:styleId="HeaderChar">
    <w:name w:val="Header Char"/>
    <w:basedOn w:val="DefaultParagraphFont"/>
    <w:link w:val="Header"/>
    <w:uiPriority w:val="99"/>
    <w:rsid w:val="00E84930"/>
    <w:rPr>
      <w:rFonts w:ascii="Arial" w:hAnsi="Arial" w:cs="Arial"/>
      <w:sz w:val="21"/>
      <w:szCs w:val="21"/>
    </w:rPr>
  </w:style>
  <w:style w:type="table" w:customStyle="1" w:styleId="TableGridLight1">
    <w:name w:val="Table Grid Light1"/>
    <w:basedOn w:val="TableNormal"/>
    <w:uiPriority w:val="40"/>
    <w:rsid w:val="00E84930"/>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rsid w:val="00E84930"/>
    <w:pPr>
      <w:spacing w:before="0"/>
      <w:contextualSpacing/>
    </w:pPr>
    <w:rPr>
      <w:sz w:val="19"/>
    </w:rPr>
  </w:style>
  <w:style w:type="character" w:styleId="Hyperlink">
    <w:name w:val="Hyperlink"/>
    <w:basedOn w:val="DefaultParagraphFont"/>
    <w:uiPriority w:val="99"/>
    <w:unhideWhenUsed/>
    <w:rsid w:val="00E84930"/>
    <w:rPr>
      <w:color w:val="0000FF" w:themeColor="hyperlink"/>
      <w:u w:val="single"/>
    </w:rPr>
  </w:style>
  <w:style w:type="paragraph" w:customStyle="1" w:styleId="largeprint">
    <w:name w:val="largeprint"/>
    <w:basedOn w:val="Normal"/>
    <w:rsid w:val="00E84930"/>
    <w:pPr>
      <w:spacing w:before="240" w:line="400" w:lineRule="exact"/>
    </w:pPr>
    <w:rPr>
      <w:sz w:val="28"/>
    </w:rPr>
  </w:style>
  <w:style w:type="paragraph" w:customStyle="1" w:styleId="letter-date">
    <w:name w:val="letter-date"/>
    <w:basedOn w:val="Normal"/>
    <w:rsid w:val="00E84930"/>
    <w:pPr>
      <w:spacing w:before="140"/>
    </w:pPr>
  </w:style>
  <w:style w:type="paragraph" w:customStyle="1" w:styleId="letter-reference">
    <w:name w:val="letter-reference"/>
    <w:basedOn w:val="Normal"/>
    <w:rsid w:val="00E84930"/>
    <w:pPr>
      <w:spacing w:before="460"/>
    </w:pPr>
  </w:style>
  <w:style w:type="paragraph" w:customStyle="1" w:styleId="letter-salutation">
    <w:name w:val="letter-salutation"/>
    <w:basedOn w:val="Normal"/>
    <w:rsid w:val="00E84930"/>
    <w:pPr>
      <w:tabs>
        <w:tab w:val="left" w:pos="3721"/>
      </w:tabs>
      <w:spacing w:before="480"/>
    </w:pPr>
  </w:style>
  <w:style w:type="paragraph" w:customStyle="1" w:styleId="Normalnospaceafterorbefore">
    <w:name w:val="Normal no space after or before"/>
    <w:basedOn w:val="Normal"/>
    <w:rsid w:val="00E84930"/>
    <w:pPr>
      <w:spacing w:before="0"/>
    </w:pPr>
  </w:style>
  <w:style w:type="paragraph" w:customStyle="1" w:styleId="letter-signoff-contact-details">
    <w:name w:val="letter-signoff-contact-details"/>
    <w:basedOn w:val="Normalnospaceafterorbefore"/>
    <w:rsid w:val="00E84930"/>
  </w:style>
  <w:style w:type="paragraph" w:customStyle="1" w:styleId="letter-signoff-email">
    <w:name w:val="letter-signoff-email"/>
    <w:basedOn w:val="Normal"/>
    <w:rsid w:val="00E84930"/>
    <w:pPr>
      <w:spacing w:before="0" w:after="180"/>
    </w:pPr>
  </w:style>
  <w:style w:type="paragraph" w:customStyle="1" w:styleId="letter-signoff-job-title">
    <w:name w:val="letter-signoff-job-title"/>
    <w:basedOn w:val="Normal"/>
    <w:rsid w:val="00E84930"/>
    <w:pPr>
      <w:spacing w:before="0" w:after="180"/>
    </w:pPr>
  </w:style>
  <w:style w:type="paragraph" w:customStyle="1" w:styleId="letter-signoff-name">
    <w:name w:val="letter-signoff-name"/>
    <w:basedOn w:val="Normalnospaceafterorbefore"/>
    <w:rsid w:val="00E84930"/>
    <w:pPr>
      <w:spacing w:before="1000"/>
    </w:pPr>
  </w:style>
  <w:style w:type="paragraph" w:customStyle="1" w:styleId="letter-subject-line">
    <w:name w:val="letter-subject-line"/>
    <w:basedOn w:val="Normal"/>
    <w:rsid w:val="00E84930"/>
    <w:rPr>
      <w:b/>
    </w:rPr>
  </w:style>
  <w:style w:type="paragraph" w:styleId="NormalIndent">
    <w:name w:val="Normal Indent"/>
    <w:basedOn w:val="Normal"/>
    <w:uiPriority w:val="99"/>
    <w:semiHidden/>
    <w:unhideWhenUsed/>
    <w:rsid w:val="00E84930"/>
    <w:pPr>
      <w:ind w:left="567"/>
    </w:pPr>
  </w:style>
  <w:style w:type="paragraph" w:customStyle="1" w:styleId="Normalnumberedparas">
    <w:name w:val="Normal numbered paras"/>
    <w:basedOn w:val="NormalIndent"/>
    <w:rsid w:val="00E84930"/>
    <w:pPr>
      <w:tabs>
        <w:tab w:val="left" w:pos="454"/>
      </w:tabs>
      <w:spacing w:before="120" w:after="240"/>
      <w:ind w:left="0"/>
    </w:pPr>
  </w:style>
  <w:style w:type="paragraph" w:customStyle="1" w:styleId="Normalnumberedparas1">
    <w:name w:val="Normal numbered paras 1"/>
    <w:basedOn w:val="NormalIndent"/>
    <w:rsid w:val="00E84930"/>
    <w:pPr>
      <w:numPr>
        <w:numId w:val="5"/>
      </w:numPr>
      <w:tabs>
        <w:tab w:val="left" w:pos="454"/>
      </w:tabs>
    </w:pPr>
  </w:style>
  <w:style w:type="paragraph" w:customStyle="1" w:styleId="Normalnumberedparasa">
    <w:name w:val="Normal numbered paras a)"/>
    <w:basedOn w:val="Normalnumberedparas1"/>
    <w:rsid w:val="00E84930"/>
    <w:pPr>
      <w:numPr>
        <w:numId w:val="6"/>
      </w:numPr>
      <w:tabs>
        <w:tab w:val="clear" w:pos="454"/>
        <w:tab w:val="left" w:pos="340"/>
      </w:tabs>
    </w:pPr>
  </w:style>
  <w:style w:type="paragraph" w:customStyle="1" w:styleId="Normaltabletext">
    <w:name w:val="Normal table text"/>
    <w:basedOn w:val="Normal"/>
    <w:rsid w:val="00E84930"/>
    <w:pPr>
      <w:spacing w:before="60" w:after="60"/>
    </w:pPr>
    <w:rPr>
      <w:lang w:eastAsia="en-US"/>
    </w:rPr>
  </w:style>
  <w:style w:type="table" w:styleId="TableGrid">
    <w:name w:val="Table Grid"/>
    <w:basedOn w:val="TableNormal"/>
    <w:uiPriority w:val="59"/>
    <w:rsid w:val="00E84930"/>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6767"/>
    <w:rPr>
      <w:color w:val="605E5C"/>
      <w:shd w:val="clear" w:color="auto" w:fill="E1DFDD"/>
    </w:rPr>
  </w:style>
  <w:style w:type="paragraph" w:styleId="FootnoteText">
    <w:name w:val="footnote text"/>
    <w:basedOn w:val="Normal"/>
    <w:link w:val="FootnoteTextChar"/>
    <w:uiPriority w:val="99"/>
    <w:semiHidden/>
    <w:unhideWhenUsed/>
    <w:rsid w:val="00EF0598"/>
    <w:pPr>
      <w:spacing w:before="0"/>
    </w:pPr>
    <w:rPr>
      <w:sz w:val="20"/>
      <w:szCs w:val="20"/>
    </w:rPr>
  </w:style>
  <w:style w:type="character" w:customStyle="1" w:styleId="FootnoteTextChar">
    <w:name w:val="Footnote Text Char"/>
    <w:basedOn w:val="DefaultParagraphFont"/>
    <w:link w:val="FootnoteText"/>
    <w:uiPriority w:val="99"/>
    <w:semiHidden/>
    <w:rsid w:val="00EF0598"/>
    <w:rPr>
      <w:rFonts w:ascii="Arial" w:hAnsi="Arial" w:cs="Arial"/>
      <w:sz w:val="20"/>
      <w:szCs w:val="20"/>
    </w:rPr>
  </w:style>
  <w:style w:type="character" w:styleId="FootnoteReference">
    <w:name w:val="footnote reference"/>
    <w:basedOn w:val="DefaultParagraphFont"/>
    <w:uiPriority w:val="99"/>
    <w:semiHidden/>
    <w:unhideWhenUsed/>
    <w:rsid w:val="00EF0598"/>
    <w:rPr>
      <w:vertAlign w:val="superscript"/>
    </w:rPr>
  </w:style>
  <w:style w:type="character" w:styleId="FollowedHyperlink">
    <w:name w:val="FollowedHyperlink"/>
    <w:basedOn w:val="DefaultParagraphFont"/>
    <w:uiPriority w:val="99"/>
    <w:semiHidden/>
    <w:unhideWhenUsed/>
    <w:rsid w:val="00272F52"/>
    <w:rPr>
      <w:color w:val="800080" w:themeColor="followedHyperlink"/>
      <w:u w:val="single"/>
    </w:rPr>
  </w:style>
  <w:style w:type="paragraph" w:styleId="Revision">
    <w:name w:val="Revision"/>
    <w:hidden/>
    <w:uiPriority w:val="99"/>
    <w:semiHidden/>
    <w:rsid w:val="00CB6ACC"/>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20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13/25/section/31" TargetMode="External"/><Relationship Id="rId2" Type="http://schemas.openxmlformats.org/officeDocument/2006/relationships/hyperlink" Target="https://www.gov.uk/government/publications/budget-2025-document/budget-2025-html" TargetMode="External"/><Relationship Id="rId1" Type="http://schemas.openxmlformats.org/officeDocument/2006/relationships/hyperlink" Target="https://assets.publishing.service.gov.uk/media/69e8921420a498c16734adc3/April_2026_Balance_Sheet_Framework_update.pdf" TargetMode="External"/><Relationship Id="rId5" Type="http://schemas.openxmlformats.org/officeDocument/2006/relationships/hyperlink" Target="https://www.gov.uk/government/publications/a-strong-fiscal-framework" TargetMode="External"/><Relationship Id="rId4" Type="http://schemas.openxmlformats.org/officeDocument/2006/relationships/hyperlink" Target="https://www.legislation.gov.uk/ukpga/2004/20/schedule/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circular.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spect Word document" ma:contentTypeID="0x010100F42EECB0B91A8E45879D374B264138DF00EBE090A4FC61894B9A254756B632517C" ma:contentTypeVersion="2" ma:contentTypeDescription="Everyday Word documents for team sites that won't use lots of custom metadata" ma:contentTypeScope="" ma:versionID="19712c2e6767f7ba8e3e4d4dc0d8b373">
  <xsd:schema xmlns:xsd="http://www.w3.org/2001/XMLSchema" xmlns:xs="http://www.w3.org/2001/XMLSchema" xmlns:p="http://schemas.microsoft.com/office/2006/metadata/properties" xmlns:ns2="9d26728d-f528-4a90-bd43-1d1c077100db" targetNamespace="http://schemas.microsoft.com/office/2006/metadata/properties" ma:root="true" ma:fieldsID="f894d2954c0cff505983e6aee86b72ec" ns2:_="">
    <xsd:import namespace="9d26728d-f528-4a90-bd43-1d1c077100db"/>
    <xsd:element name="properties">
      <xsd:complexType>
        <xsd:sequence>
          <xsd:element name="documentManagement">
            <xsd:complexType>
              <xsd:all>
                <xsd:element ref="ns2:od2d668b730a42b09b0f80013e44f7d0" minOccurs="0"/>
                <xsd:element ref="ns2:TaxCatchAll" minOccurs="0"/>
                <xsd:element ref="ns2:TaxCatchAllLabel" minOccurs="0"/>
                <xsd:element ref="ns2:i12f887480f948af902ab36f3e37c5ec" minOccurs="0"/>
                <xsd:element ref="ns2:Team-manual-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728d-f528-4a90-bd43-1d1c077100db" elementFormDefault="qualified">
    <xsd:import namespace="http://schemas.microsoft.com/office/2006/documentManagement/types"/>
    <xsd:import namespace="http://schemas.microsoft.com/office/infopath/2007/PartnerControls"/>
    <xsd:element name="od2d668b730a42b09b0f80013e44f7d0" ma:index="8" nillable="true" ma:taxonomy="true" ma:internalName="od2d668b730a42b09b0f80013e44f7d0" ma:taxonomyFieldName="Prospect_x002d_topic_x002d_new" ma:displayName="Topic" ma:default="" ma:fieldId="{8d2d668b-730a-42b0-9b0f-80013e44f7d0}" ma:sspId="ddb10955-4951-4066-b3c1-96eb136e60ed" ma:termSetId="a938fdd5-fe30-4794-b19a-9255648c1ef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e77758-b606-4a75-864a-4b7c0cca3c3a}"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e77758-b606-4a75-864a-4b7c0cca3c3a}" ma:internalName="TaxCatchAllLabel" ma:readOnly="true" ma:showField="CatchAllDataLabel" ma:web="95c4e850-32b5-4d18-96f2-9b7a5c16f8c4">
      <xsd:complexType>
        <xsd:complexContent>
          <xsd:extension base="dms:MultiChoiceLookup">
            <xsd:sequence>
              <xsd:element name="Value" type="dms:Lookup" maxOccurs="unbounded" minOccurs="0" nillable="true"/>
            </xsd:sequence>
          </xsd:extension>
        </xsd:complexContent>
      </xsd:complexType>
    </xsd:element>
    <xsd:element name="i12f887480f948af902ab36f3e37c5ec" ma:index="12" nillable="true" ma:taxonomy="true" ma:internalName="i12f887480f948af902ab36f3e37c5ec" ma:taxonomyFieldName="Sector" ma:displayName="Sector" ma:default="" ma:fieldId="{212f8874-80f9-48af-902a-b36f3e37c5ec}" ma:sspId="ddb10955-4951-4066-b3c1-96eb136e60ed" ma:termSetId="18d0f3a8-c86d-4837-ae05-65b495ea4204" ma:anchorId="00000000-0000-0000-0000-000000000000" ma:open="false" ma:isKeyword="false">
      <xsd:complexType>
        <xsd:sequence>
          <xsd:element ref="pc:Terms" minOccurs="0" maxOccurs="1"/>
        </xsd:sequence>
      </xsd:complexType>
    </xsd:element>
    <xsd:element name="Team-manual-data" ma:index="14" nillable="true" ma:displayName="Team" ma:description="A workaround to manually add the name of the responsible team, until we can find a way of using team info from AD. Must be done consistently if staff are to be able to filter by team" ma:internalName="Team_x002d_manual_x002d_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db10955-4951-4066-b3c1-96eb136e60ed" ContentTypeId="0x010100F42EECB0B91A8E45879D374B264138DF" PreviousValue="false" LastSyncTimeStamp="2026-06-09T10:49:55.55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2d668b730a42b09b0f80013e44f7d0 xmlns="9d26728d-f528-4a90-bd43-1d1c077100db">
      <Terms xmlns="http://schemas.microsoft.com/office/infopath/2007/PartnerControls"/>
    </od2d668b730a42b09b0f80013e44f7d0>
    <i12f887480f948af902ab36f3e37c5ec xmlns="9d26728d-f528-4a90-bd43-1d1c077100db">
      <Terms xmlns="http://schemas.microsoft.com/office/infopath/2007/PartnerControls"/>
    </i12f887480f948af902ab36f3e37c5ec>
    <TaxCatchAll xmlns="9d26728d-f528-4a90-bd43-1d1c077100db" xsi:nil="true"/>
    <Team-manual-data xmlns="9d26728d-f528-4a90-bd43-1d1c077100db" xsi:nil="true"/>
  </documentManagement>
</p:properties>
</file>

<file path=customXml/itemProps1.xml><?xml version="1.0" encoding="utf-8"?>
<ds:datastoreItem xmlns:ds="http://schemas.openxmlformats.org/officeDocument/2006/customXml" ds:itemID="{27526C19-8705-4877-AF30-5E901EB4CD9F}">
  <ds:schemaRefs>
    <ds:schemaRef ds:uri="http://schemas.openxmlformats.org/officeDocument/2006/bibliography"/>
  </ds:schemaRefs>
</ds:datastoreItem>
</file>

<file path=customXml/itemProps2.xml><?xml version="1.0" encoding="utf-8"?>
<ds:datastoreItem xmlns:ds="http://schemas.openxmlformats.org/officeDocument/2006/customXml" ds:itemID="{F6C632D4-E9CE-436E-A6DD-BB11F2A3CAF0}"/>
</file>

<file path=customXml/itemProps3.xml><?xml version="1.0" encoding="utf-8"?>
<ds:datastoreItem xmlns:ds="http://schemas.openxmlformats.org/officeDocument/2006/customXml" ds:itemID="{1692692F-307B-4DFC-9379-ADCB41450CB8}"/>
</file>

<file path=customXml/itemProps4.xml><?xml version="1.0" encoding="utf-8"?>
<ds:datastoreItem xmlns:ds="http://schemas.openxmlformats.org/officeDocument/2006/customXml" ds:itemID="{1FD3AD98-D47A-4C5A-B1BE-4EA14B60CCEE}"/>
</file>

<file path=customXml/itemProps5.xml><?xml version="1.0" encoding="utf-8"?>
<ds:datastoreItem xmlns:ds="http://schemas.openxmlformats.org/officeDocument/2006/customXml" ds:itemID="{1816FC2D-9E00-4059-9B0D-E89804FA1774}"/>
</file>

<file path=docProps/app.xml><?xml version="1.0" encoding="utf-8"?>
<Properties xmlns="http://schemas.openxmlformats.org/officeDocument/2006/extended-properties" xmlns:vt="http://schemas.openxmlformats.org/officeDocument/2006/docPropsVTypes">
  <Template>circular</Template>
  <TotalTime>0</TotalTime>
  <Pages>4</Pages>
  <Words>1127</Words>
  <Characters>6427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Neil Walsh</cp:lastModifiedBy>
  <cp:revision>2</cp:revision>
  <cp:lastPrinted>2026-05-07T14:06:00Z</cp:lastPrinted>
  <dcterms:created xsi:type="dcterms:W3CDTF">2026-07-22T16:40:00Z</dcterms:created>
  <dcterms:modified xsi:type="dcterms:W3CDTF">2026-07-22T16:40:00Z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0x010100F42EECB0B91A8E45879D374B264138DF00EBE090A4FC61894B9A254756B632517C</vt:lpwstr>
  </property>
</Properties>
</file>