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Layout w:type="fixed"/>
        <w:tblCellMar>
          <w:left w:w="0" w:type="dxa"/>
          <w:right w:w="0" w:type="dxa"/>
        </w:tblCellMar>
        <w:tblLook w:val="04A0" w:firstRow="1" w:lastRow="0" w:firstColumn="1" w:lastColumn="0" w:noHBand="0" w:noVBand="1"/>
      </w:tblPr>
      <w:tblGrid>
        <w:gridCol w:w="6804"/>
        <w:gridCol w:w="3400"/>
      </w:tblGrid>
      <w:tr w:rsidR="0045711F" w:rsidRPr="00FE0C02" w14:paraId="2FACB954" w14:textId="77777777" w:rsidTr="00BD79B0">
        <w:trPr>
          <w:trHeight w:val="3061"/>
        </w:trPr>
        <w:tc>
          <w:tcPr>
            <w:tcW w:w="6804" w:type="dxa"/>
            <w:vMerge w:val="restart"/>
          </w:tcPr>
          <w:p w14:paraId="3D360538" w14:textId="55ACD832" w:rsidR="00F201AF" w:rsidRPr="00FE0C02" w:rsidRDefault="000D3E9D" w:rsidP="00364588">
            <w:r w:rsidRPr="00FE0C02">
              <w:rPr>
                <w:noProof/>
              </w:rPr>
              <w:drawing>
                <wp:inline distT="0" distB="0" distL="0" distR="0" wp14:anchorId="7C86FE91" wp14:editId="72CCFC8F">
                  <wp:extent cx="2339340" cy="1529992"/>
                  <wp:effectExtent l="0" t="0" r="0" b="0"/>
                  <wp:docPr id="2108891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7370" cy="1535244"/>
                          </a:xfrm>
                          <a:prstGeom prst="rect">
                            <a:avLst/>
                          </a:prstGeom>
                          <a:noFill/>
                          <a:ln>
                            <a:noFill/>
                          </a:ln>
                        </pic:spPr>
                      </pic:pic>
                    </a:graphicData>
                  </a:graphic>
                </wp:inline>
              </w:drawing>
            </w:r>
          </w:p>
          <w:p w14:paraId="3A5C4005" w14:textId="77777777" w:rsidR="00E66099" w:rsidRDefault="00E66099" w:rsidP="00364588"/>
          <w:p w14:paraId="12F2912E" w14:textId="77777777" w:rsidR="002A464D" w:rsidRDefault="002A464D" w:rsidP="00364588">
            <w:pPr>
              <w:rPr>
                <w:lang w:val="nl-NL"/>
              </w:rPr>
            </w:pPr>
          </w:p>
          <w:p w14:paraId="05821360" w14:textId="77777777" w:rsidR="002A464D" w:rsidRDefault="002A464D" w:rsidP="00364588">
            <w:pPr>
              <w:rPr>
                <w:lang w:val="nl-NL"/>
              </w:rPr>
            </w:pPr>
          </w:p>
          <w:p w14:paraId="5FAC53E2" w14:textId="77777777" w:rsidR="002A464D" w:rsidRDefault="002A464D" w:rsidP="00364588">
            <w:pPr>
              <w:rPr>
                <w:lang w:val="nl-NL"/>
              </w:rPr>
            </w:pPr>
          </w:p>
          <w:p w14:paraId="1DC2FA7B" w14:textId="77777777" w:rsidR="002A464D" w:rsidRDefault="002A464D" w:rsidP="00364588">
            <w:pPr>
              <w:rPr>
                <w:lang w:val="nl-NL"/>
              </w:rPr>
            </w:pPr>
          </w:p>
          <w:p w14:paraId="01BE25BF" w14:textId="77777777" w:rsidR="002A464D" w:rsidRDefault="002A464D" w:rsidP="00364588">
            <w:pPr>
              <w:rPr>
                <w:lang w:val="nl-NL"/>
              </w:rPr>
            </w:pPr>
          </w:p>
          <w:p w14:paraId="6D4063CD" w14:textId="77777777" w:rsidR="002A464D" w:rsidRDefault="002A464D" w:rsidP="00364588">
            <w:pPr>
              <w:rPr>
                <w:lang w:val="nl-NL"/>
              </w:rPr>
            </w:pPr>
          </w:p>
          <w:p w14:paraId="4F13AAF2" w14:textId="77777777" w:rsidR="007F2671" w:rsidRDefault="007F2671" w:rsidP="00364588">
            <w:pPr>
              <w:rPr>
                <w:lang w:val="nl-NL"/>
              </w:rPr>
            </w:pPr>
          </w:p>
          <w:p w14:paraId="78F4FB1C" w14:textId="6228B77A" w:rsidR="005F29EC" w:rsidRPr="00172C79" w:rsidRDefault="00A90849" w:rsidP="00364588">
            <w:pPr>
              <w:rPr>
                <w:lang w:val="nl-NL"/>
              </w:rPr>
            </w:pPr>
            <w:r w:rsidRPr="00172C79">
              <w:rPr>
                <w:lang w:val="nl-NL"/>
              </w:rPr>
              <w:t>Dear Dan Ellis, HR</w:t>
            </w:r>
            <w:r w:rsidR="005F29EC" w:rsidRPr="00172C79">
              <w:rPr>
                <w:lang w:val="nl-NL"/>
              </w:rPr>
              <w:t xml:space="preserve"> Director, HSE</w:t>
            </w:r>
            <w:r w:rsidRPr="00172C79">
              <w:rPr>
                <w:lang w:val="nl-NL"/>
              </w:rPr>
              <w:t xml:space="preserve"> </w:t>
            </w:r>
          </w:p>
          <w:p w14:paraId="530524EB" w14:textId="77777777" w:rsidR="002848F5" w:rsidRPr="00172C79" w:rsidRDefault="002848F5" w:rsidP="00364588">
            <w:pPr>
              <w:rPr>
                <w:lang w:val="nl-NL"/>
              </w:rPr>
            </w:pPr>
          </w:p>
          <w:p w14:paraId="2625B8A1" w14:textId="581259A0" w:rsidR="00DC49B3" w:rsidRDefault="00A90849" w:rsidP="00364588">
            <w:r w:rsidRPr="00FE0C02">
              <w:t xml:space="preserve">cc </w:t>
            </w:r>
            <w:r w:rsidR="00DC49B3" w:rsidRPr="00DC49B3">
              <w:t>Charlie Pugsley</w:t>
            </w:r>
            <w:r w:rsidR="00DC49B3">
              <w:t xml:space="preserve">, </w:t>
            </w:r>
            <w:r w:rsidR="00DC49B3" w:rsidRPr="00DC49B3">
              <w:t>Interim Chief Executive Officer</w:t>
            </w:r>
            <w:r w:rsidR="00DC49B3">
              <w:t>, BSR</w:t>
            </w:r>
          </w:p>
          <w:p w14:paraId="6C93B306" w14:textId="3303C4E2" w:rsidR="00D34EA4" w:rsidRDefault="00D34EA4" w:rsidP="00364588">
            <w:r>
              <w:t xml:space="preserve">Victoria Molho, </w:t>
            </w:r>
            <w:r w:rsidR="00364588" w:rsidRPr="00364588">
              <w:t>Deputy Director Strategy, Transition and Change</w:t>
            </w:r>
            <w:r w:rsidR="00983562">
              <w:t>,</w:t>
            </w:r>
            <w:r w:rsidR="00364588" w:rsidRPr="00364588">
              <w:t xml:space="preserve"> HSE</w:t>
            </w:r>
          </w:p>
          <w:p w14:paraId="7B69B4D1" w14:textId="2E3F93B5" w:rsidR="00983562" w:rsidRPr="00DC49B3" w:rsidRDefault="00983562" w:rsidP="00364588">
            <w:r>
              <w:t>Catherine Adams,</w:t>
            </w:r>
            <w:r w:rsidR="002848F5">
              <w:rPr>
                <w:color w:val="000000" w:themeColor="text1"/>
                <w:sz w:val="20"/>
                <w:szCs w:val="20"/>
              </w:rPr>
              <w:t xml:space="preserve"> </w:t>
            </w:r>
            <w:r w:rsidR="002848F5" w:rsidRPr="002848F5">
              <w:t>Director Building Systems and Insights</w:t>
            </w:r>
            <w:r w:rsidR="002848F5">
              <w:t>,</w:t>
            </w:r>
            <w:r w:rsidR="002848F5" w:rsidRPr="002848F5">
              <w:t xml:space="preserve"> MHCLG</w:t>
            </w:r>
          </w:p>
          <w:p w14:paraId="1F024BB8" w14:textId="34A19358" w:rsidR="009D3A54" w:rsidRDefault="007145C4" w:rsidP="006832A0">
            <w:r>
              <w:t>Nick Nash, Deputy Director BSR Transition, MHCLG</w:t>
            </w:r>
          </w:p>
          <w:p w14:paraId="494D5C3D" w14:textId="2D4A85F8" w:rsidR="0045711F" w:rsidRPr="00FE0C02" w:rsidRDefault="00A90849" w:rsidP="00364588">
            <w:r w:rsidRPr="00FE0C02">
              <w:t>James Mailer, People Workstream Lead</w:t>
            </w:r>
            <w:r w:rsidR="005F29EC" w:rsidRPr="00FE0C02">
              <w:t>, HSE</w:t>
            </w:r>
          </w:p>
        </w:tc>
        <w:tc>
          <w:tcPr>
            <w:tcW w:w="3400" w:type="dxa"/>
          </w:tcPr>
          <w:p w14:paraId="4A9081F2" w14:textId="71B94E37" w:rsidR="002A464D" w:rsidRDefault="002A464D" w:rsidP="00154591">
            <w:pPr>
              <w:pStyle w:val="BodyText"/>
              <w:rPr>
                <w:b/>
                <w:bCs/>
                <w:sz w:val="22"/>
                <w:szCs w:val="22"/>
              </w:rPr>
            </w:pPr>
            <w:r>
              <w:rPr>
                <w:b/>
                <w:bCs/>
                <w:sz w:val="22"/>
                <w:szCs w:val="22"/>
              </w:rPr>
              <w:t>Debbie Crewe</w:t>
            </w:r>
          </w:p>
          <w:p w14:paraId="13C31A65" w14:textId="52546C8E" w:rsidR="002A464D" w:rsidRDefault="00755246" w:rsidP="00154591">
            <w:pPr>
              <w:pStyle w:val="BodyText"/>
              <w:rPr>
                <w:i/>
                <w:iCs/>
                <w:sz w:val="22"/>
                <w:szCs w:val="22"/>
              </w:rPr>
            </w:pPr>
            <w:r>
              <w:rPr>
                <w:i/>
                <w:iCs/>
                <w:sz w:val="22"/>
                <w:szCs w:val="22"/>
              </w:rPr>
              <w:t>PC&amp;C</w:t>
            </w:r>
            <w:r w:rsidR="002A464D">
              <w:rPr>
                <w:i/>
                <w:iCs/>
                <w:sz w:val="22"/>
                <w:szCs w:val="22"/>
              </w:rPr>
              <w:t xml:space="preserve"> Deputy Director</w:t>
            </w:r>
          </w:p>
          <w:p w14:paraId="788A8CB5" w14:textId="3F32D47F" w:rsidR="002A464D" w:rsidRPr="00C64B36" w:rsidRDefault="002A464D" w:rsidP="00154591">
            <w:pPr>
              <w:pStyle w:val="BodyText"/>
              <w:rPr>
                <w:i/>
                <w:iCs/>
                <w:sz w:val="22"/>
                <w:szCs w:val="22"/>
              </w:rPr>
            </w:pPr>
            <w:r>
              <w:rPr>
                <w:i/>
                <w:iCs/>
                <w:sz w:val="22"/>
                <w:szCs w:val="22"/>
              </w:rPr>
              <w:t>MHCLG</w:t>
            </w:r>
          </w:p>
          <w:p w14:paraId="0871DE5A" w14:textId="77777777" w:rsidR="002A464D" w:rsidRDefault="002A464D" w:rsidP="00154591">
            <w:pPr>
              <w:pStyle w:val="BodyText"/>
              <w:rPr>
                <w:b/>
                <w:bCs/>
                <w:sz w:val="22"/>
                <w:szCs w:val="22"/>
              </w:rPr>
            </w:pPr>
          </w:p>
          <w:p w14:paraId="37D87829" w14:textId="0149D4B5" w:rsidR="0045711F" w:rsidRPr="00FE0C02" w:rsidRDefault="00B71A84" w:rsidP="00154591">
            <w:pPr>
              <w:pStyle w:val="BodyText"/>
              <w:rPr>
                <w:b/>
                <w:bCs/>
                <w:sz w:val="22"/>
                <w:szCs w:val="22"/>
              </w:rPr>
            </w:pPr>
            <w:r w:rsidRPr="00FE0C02">
              <w:rPr>
                <w:b/>
                <w:bCs/>
                <w:sz w:val="22"/>
                <w:szCs w:val="22"/>
              </w:rPr>
              <w:t>Amy Turner</w:t>
            </w:r>
          </w:p>
          <w:p w14:paraId="74FDF435" w14:textId="6035A05B" w:rsidR="0045711F" w:rsidRPr="00FE0C02" w:rsidRDefault="00033F4F" w:rsidP="00154591">
            <w:pPr>
              <w:pStyle w:val="BodyText"/>
              <w:rPr>
                <w:i/>
                <w:iCs/>
                <w:sz w:val="22"/>
                <w:szCs w:val="22"/>
              </w:rPr>
            </w:pPr>
            <w:r w:rsidRPr="00FE0C02">
              <w:rPr>
                <w:i/>
                <w:iCs/>
                <w:sz w:val="22"/>
                <w:szCs w:val="22"/>
              </w:rPr>
              <w:t xml:space="preserve">BSR </w:t>
            </w:r>
            <w:r w:rsidR="00543940">
              <w:rPr>
                <w:i/>
                <w:iCs/>
                <w:sz w:val="22"/>
                <w:szCs w:val="22"/>
              </w:rPr>
              <w:t>Interim Head of HR</w:t>
            </w:r>
            <w:r w:rsidR="0045711F" w:rsidRPr="00FE0C02">
              <w:rPr>
                <w:i/>
                <w:iCs/>
                <w:sz w:val="22"/>
                <w:szCs w:val="22"/>
              </w:rPr>
              <w:br/>
            </w:r>
          </w:p>
          <w:p w14:paraId="4D8E83EC" w14:textId="5A166585" w:rsidR="0045711F" w:rsidRPr="00FE0C02" w:rsidRDefault="006A288F" w:rsidP="00154591">
            <w:pPr>
              <w:pStyle w:val="BodyText"/>
              <w:rPr>
                <w:b/>
                <w:bCs/>
                <w:i/>
                <w:iCs/>
                <w:sz w:val="22"/>
                <w:szCs w:val="22"/>
              </w:rPr>
            </w:pPr>
            <w:r w:rsidRPr="00FE0C02">
              <w:rPr>
                <w:b/>
                <w:bCs/>
                <w:i/>
                <w:iCs/>
                <w:sz w:val="22"/>
                <w:szCs w:val="22"/>
              </w:rPr>
              <w:t>Ministry of Housing,</w:t>
            </w:r>
            <w:r w:rsidRPr="00FE0C02">
              <w:rPr>
                <w:b/>
                <w:bCs/>
                <w:i/>
                <w:iCs/>
                <w:sz w:val="22"/>
                <w:szCs w:val="22"/>
              </w:rPr>
              <w:br/>
              <w:t>Communities &amp;</w:t>
            </w:r>
            <w:r w:rsidRPr="00FE0C02">
              <w:rPr>
                <w:b/>
                <w:bCs/>
                <w:i/>
                <w:iCs/>
                <w:sz w:val="22"/>
                <w:szCs w:val="22"/>
              </w:rPr>
              <w:br/>
              <w:t>Local Government</w:t>
            </w:r>
          </w:p>
          <w:p w14:paraId="6F67D983" w14:textId="77777777" w:rsidR="0045711F" w:rsidRPr="00FE0C02" w:rsidRDefault="0045711F" w:rsidP="00154591">
            <w:pPr>
              <w:pStyle w:val="BodyText"/>
              <w:rPr>
                <w:sz w:val="22"/>
                <w:szCs w:val="22"/>
              </w:rPr>
            </w:pPr>
            <w:r w:rsidRPr="00FE0C02">
              <w:rPr>
                <w:sz w:val="22"/>
                <w:szCs w:val="22"/>
              </w:rPr>
              <w:t>4th Floor, Fry Building</w:t>
            </w:r>
          </w:p>
          <w:p w14:paraId="7E105C30" w14:textId="77777777" w:rsidR="0045711F" w:rsidRPr="00FE0C02" w:rsidRDefault="0045711F" w:rsidP="00154591">
            <w:pPr>
              <w:pStyle w:val="BodyText"/>
              <w:rPr>
                <w:sz w:val="22"/>
                <w:szCs w:val="22"/>
              </w:rPr>
            </w:pPr>
            <w:r w:rsidRPr="00FE0C02">
              <w:rPr>
                <w:sz w:val="22"/>
                <w:szCs w:val="22"/>
              </w:rPr>
              <w:t>2 Marsham Street</w:t>
            </w:r>
          </w:p>
          <w:p w14:paraId="54ADA954" w14:textId="77777777" w:rsidR="0045711F" w:rsidRPr="00FE0C02" w:rsidRDefault="0045711F" w:rsidP="00154591">
            <w:pPr>
              <w:pStyle w:val="BodyText"/>
              <w:rPr>
                <w:sz w:val="22"/>
                <w:szCs w:val="22"/>
              </w:rPr>
            </w:pPr>
            <w:r w:rsidRPr="00FE0C02">
              <w:rPr>
                <w:sz w:val="22"/>
                <w:szCs w:val="22"/>
              </w:rPr>
              <w:t>London SW1P 4DF</w:t>
            </w:r>
          </w:p>
          <w:p w14:paraId="2545DA27" w14:textId="77777777" w:rsidR="0045711F" w:rsidRPr="00FE0C02" w:rsidRDefault="0045711F" w:rsidP="00154591">
            <w:pPr>
              <w:pStyle w:val="BodyText"/>
              <w:rPr>
                <w:sz w:val="22"/>
                <w:szCs w:val="22"/>
              </w:rPr>
            </w:pPr>
          </w:p>
          <w:p w14:paraId="03CECD75" w14:textId="5CCEF863" w:rsidR="0045711F" w:rsidRPr="00FE0C02" w:rsidRDefault="00A8429C" w:rsidP="00154591">
            <w:pPr>
              <w:pStyle w:val="BodyText"/>
              <w:rPr>
                <w:b/>
                <w:bCs/>
                <w:sz w:val="22"/>
                <w:szCs w:val="22"/>
              </w:rPr>
            </w:pPr>
            <w:hyperlink r:id="rId13" w:history="1">
              <w:r w:rsidRPr="00FE0C02">
                <w:rPr>
                  <w:rStyle w:val="Hyperlink"/>
                  <w:b/>
                  <w:bCs/>
                  <w:color w:val="000000" w:themeColor="text1"/>
                  <w:sz w:val="22"/>
                  <w:szCs w:val="22"/>
                </w:rPr>
                <w:t>www.gov.uk/mhclg</w:t>
              </w:r>
              <w:r w:rsidRPr="00FE0C02">
                <w:rPr>
                  <w:rStyle w:val="Hyperlink"/>
                  <w:b/>
                  <w:bCs/>
                  <w:sz w:val="22"/>
                  <w:szCs w:val="22"/>
                </w:rPr>
                <w:t xml:space="preserve"> </w:t>
              </w:r>
            </w:hyperlink>
          </w:p>
        </w:tc>
      </w:tr>
      <w:tr w:rsidR="0045711F" w:rsidRPr="00FE0C02" w14:paraId="750378B2" w14:textId="77777777" w:rsidTr="00BD79B0">
        <w:tc>
          <w:tcPr>
            <w:tcW w:w="6804" w:type="dxa"/>
            <w:vMerge/>
          </w:tcPr>
          <w:p w14:paraId="104E8B5C" w14:textId="77777777" w:rsidR="0045711F" w:rsidRPr="00FE0C02" w:rsidRDefault="0045711F" w:rsidP="00530ABD">
            <w:pPr>
              <w:pStyle w:val="BodyText"/>
            </w:pPr>
          </w:p>
        </w:tc>
        <w:tc>
          <w:tcPr>
            <w:tcW w:w="3400" w:type="dxa"/>
            <w:vAlign w:val="center"/>
          </w:tcPr>
          <w:p w14:paraId="177A03C8" w14:textId="650C02BB" w:rsidR="007F2671" w:rsidRDefault="0045711F" w:rsidP="00154591">
            <w:pPr>
              <w:pStyle w:val="BodyText"/>
              <w:rPr>
                <w:sz w:val="22"/>
                <w:szCs w:val="22"/>
                <w:lang w:val="fr-FR"/>
              </w:rPr>
            </w:pPr>
            <w:proofErr w:type="gramStart"/>
            <w:r w:rsidRPr="00574B70">
              <w:rPr>
                <w:sz w:val="22"/>
                <w:szCs w:val="22"/>
                <w:lang w:val="fr-FR"/>
              </w:rPr>
              <w:t>Email:</w:t>
            </w:r>
            <w:proofErr w:type="gramEnd"/>
            <w:r w:rsidRPr="00574B70">
              <w:rPr>
                <w:sz w:val="22"/>
                <w:szCs w:val="22"/>
                <w:lang w:val="fr-FR"/>
              </w:rPr>
              <w:t xml:space="preserve"> </w:t>
            </w:r>
            <w:r w:rsidR="007F2671" w:rsidRPr="00543940">
              <w:rPr>
                <w:sz w:val="22"/>
                <w:szCs w:val="22"/>
                <w:lang w:val="fr-FR"/>
              </w:rPr>
              <w:t>Debbie.Crewe@communities.gov.uk</w:t>
            </w:r>
          </w:p>
          <w:p w14:paraId="601C0843" w14:textId="6C586DD2" w:rsidR="0045711F" w:rsidRPr="00A7738F" w:rsidRDefault="00D51126" w:rsidP="00154591">
            <w:pPr>
              <w:pStyle w:val="BodyText"/>
              <w:rPr>
                <w:sz w:val="22"/>
                <w:szCs w:val="22"/>
              </w:rPr>
            </w:pPr>
            <w:r w:rsidRPr="00A7738F">
              <w:rPr>
                <w:sz w:val="22"/>
                <w:szCs w:val="22"/>
              </w:rPr>
              <w:t>Amy</w:t>
            </w:r>
            <w:r w:rsidR="0045711F" w:rsidRPr="00A7738F">
              <w:rPr>
                <w:sz w:val="22"/>
                <w:szCs w:val="22"/>
              </w:rPr>
              <w:t>.</w:t>
            </w:r>
            <w:r w:rsidRPr="00A7738F">
              <w:rPr>
                <w:sz w:val="22"/>
                <w:szCs w:val="22"/>
              </w:rPr>
              <w:t>Turner</w:t>
            </w:r>
            <w:r w:rsidR="0045711F" w:rsidRPr="00A7738F">
              <w:rPr>
                <w:sz w:val="22"/>
                <w:szCs w:val="22"/>
              </w:rPr>
              <w:t>@communities.gov.uk</w:t>
            </w:r>
          </w:p>
          <w:p w14:paraId="2E75D805" w14:textId="77777777" w:rsidR="0045711F" w:rsidRPr="00A7738F" w:rsidRDefault="0045711F" w:rsidP="00154591">
            <w:pPr>
              <w:pStyle w:val="BodyText"/>
              <w:rPr>
                <w:sz w:val="22"/>
                <w:szCs w:val="22"/>
              </w:rPr>
            </w:pPr>
          </w:p>
          <w:p w14:paraId="4101A89C" w14:textId="77777777" w:rsidR="0045711F" w:rsidRPr="00A7738F" w:rsidRDefault="0045711F" w:rsidP="00154591">
            <w:pPr>
              <w:pStyle w:val="BodyText"/>
              <w:rPr>
                <w:sz w:val="20"/>
                <w:szCs w:val="20"/>
              </w:rPr>
            </w:pPr>
          </w:p>
          <w:p w14:paraId="77AE4E6C" w14:textId="3E552F85" w:rsidR="0045711F" w:rsidRPr="00FE0C02" w:rsidRDefault="00CF4589" w:rsidP="0045711F">
            <w:pPr>
              <w:pStyle w:val="BodyText"/>
              <w:jc w:val="right"/>
            </w:pPr>
            <w:r>
              <w:t xml:space="preserve">Dated </w:t>
            </w:r>
            <w:r w:rsidR="003470BB">
              <w:t>5</w:t>
            </w:r>
            <w:r w:rsidR="00275E05">
              <w:t xml:space="preserve"> </w:t>
            </w:r>
            <w:r w:rsidR="003470BB">
              <w:t>May</w:t>
            </w:r>
            <w:r>
              <w:t xml:space="preserve"> 2026</w:t>
            </w:r>
          </w:p>
        </w:tc>
      </w:tr>
    </w:tbl>
    <w:p w14:paraId="213A416C" w14:textId="77777777" w:rsidR="00F62F27" w:rsidRPr="00FE0C02" w:rsidRDefault="00F62F27" w:rsidP="00530ABD">
      <w:pPr>
        <w:pStyle w:val="BodyText"/>
      </w:pPr>
    </w:p>
    <w:p w14:paraId="19108768" w14:textId="228E50D9" w:rsidR="00FB1469" w:rsidRPr="00146776" w:rsidRDefault="00FB1469" w:rsidP="00FB1469">
      <w:pPr>
        <w:spacing w:after="240"/>
        <w:rPr>
          <w:rFonts w:cs="Times New Roman"/>
          <w:szCs w:val="20"/>
        </w:rPr>
      </w:pPr>
      <w:r w:rsidRPr="00FE0C02">
        <w:rPr>
          <w:rFonts w:cs="Times New Roman"/>
          <w:color w:val="000000"/>
          <w:szCs w:val="20"/>
        </w:rPr>
        <w:t>Re: COSoP transfer out from Health Safety Executive (“</w:t>
      </w:r>
      <w:r w:rsidRPr="00FE0C02">
        <w:rPr>
          <w:rFonts w:cs="Times New Roman"/>
          <w:b/>
          <w:bCs/>
          <w:color w:val="000000"/>
          <w:szCs w:val="20"/>
        </w:rPr>
        <w:t>HSE</w:t>
      </w:r>
      <w:r w:rsidRPr="00FE0C02">
        <w:rPr>
          <w:rFonts w:cs="Times New Roman"/>
          <w:color w:val="000000"/>
          <w:szCs w:val="20"/>
        </w:rPr>
        <w:t>”) to the new Building Safety Regulator (“</w:t>
      </w:r>
      <w:r w:rsidRPr="00FE0C02">
        <w:rPr>
          <w:rFonts w:cs="Times New Roman"/>
          <w:b/>
          <w:bCs/>
          <w:color w:val="000000"/>
          <w:szCs w:val="20"/>
        </w:rPr>
        <w:t>BSR</w:t>
      </w:r>
      <w:r w:rsidRPr="00FE0C02">
        <w:rPr>
          <w:rFonts w:cs="Times New Roman"/>
          <w:color w:val="000000"/>
          <w:szCs w:val="20"/>
        </w:rPr>
        <w:t>”) which will be a new</w:t>
      </w:r>
      <w:r w:rsidRPr="00FE0C02">
        <w:t xml:space="preserve"> </w:t>
      </w:r>
      <w:r w:rsidRPr="00FE0C02">
        <w:rPr>
          <w:rFonts w:cs="Times New Roman"/>
          <w:color w:val="000000"/>
          <w:szCs w:val="20"/>
        </w:rPr>
        <w:t>non-Crown non-departmental public body (“</w:t>
      </w:r>
      <w:r w:rsidRPr="00FE0C02">
        <w:rPr>
          <w:rFonts w:cs="Times New Roman"/>
          <w:b/>
          <w:bCs/>
          <w:color w:val="000000"/>
          <w:szCs w:val="20"/>
        </w:rPr>
        <w:t>NDPB</w:t>
      </w:r>
      <w:r w:rsidRPr="00FE0C02">
        <w:rPr>
          <w:rFonts w:cs="Times New Roman"/>
          <w:color w:val="000000"/>
          <w:szCs w:val="20"/>
        </w:rPr>
        <w:t xml:space="preserve">”), </w:t>
      </w:r>
      <w:r w:rsidRPr="00146776">
        <w:rPr>
          <w:rFonts w:cs="Times New Roman"/>
          <w:szCs w:val="20"/>
        </w:rPr>
        <w:t>sponsored by MHCLG.</w:t>
      </w:r>
    </w:p>
    <w:p w14:paraId="2A274D11" w14:textId="66638A24" w:rsidR="00FB1469" w:rsidRPr="00146776" w:rsidRDefault="000100F3" w:rsidP="00FB1469">
      <w:pPr>
        <w:spacing w:after="240"/>
        <w:rPr>
          <w:rFonts w:cs="Times New Roman"/>
          <w:b/>
          <w:bCs/>
          <w:szCs w:val="20"/>
          <w:u w:val="single"/>
        </w:rPr>
      </w:pPr>
      <w:r w:rsidRPr="00146776">
        <w:rPr>
          <w:rFonts w:cs="Times New Roman"/>
          <w:b/>
          <w:bCs/>
          <w:szCs w:val="20"/>
          <w:u w:val="single"/>
        </w:rPr>
        <w:t xml:space="preserve">Final &amp; </w:t>
      </w:r>
      <w:r w:rsidR="00F63CF6" w:rsidRPr="00146776">
        <w:rPr>
          <w:rFonts w:cs="Times New Roman"/>
          <w:b/>
          <w:bCs/>
          <w:szCs w:val="20"/>
          <w:u w:val="single"/>
        </w:rPr>
        <w:t>C</w:t>
      </w:r>
      <w:r w:rsidRPr="00146776">
        <w:rPr>
          <w:rFonts w:cs="Times New Roman"/>
          <w:b/>
          <w:bCs/>
          <w:szCs w:val="20"/>
          <w:u w:val="single"/>
        </w:rPr>
        <w:t xml:space="preserve">onsolidated </w:t>
      </w:r>
      <w:r w:rsidR="00FB1469" w:rsidRPr="00146776">
        <w:rPr>
          <w:rFonts w:cs="Times New Roman"/>
          <w:b/>
          <w:bCs/>
          <w:szCs w:val="20"/>
          <w:u w:val="single"/>
        </w:rPr>
        <w:t>Statement of proposed post-transfer changes</w:t>
      </w:r>
    </w:p>
    <w:p w14:paraId="40C44610" w14:textId="7728162C" w:rsidR="00FB1469" w:rsidRPr="00FE0C02" w:rsidRDefault="00FB1469" w:rsidP="00FB1469">
      <w:pPr>
        <w:spacing w:after="240" w:line="280" w:lineRule="exact"/>
        <w:rPr>
          <w:rFonts w:eastAsia="Calibri" w:cs="Times New Roman"/>
          <w:color w:val="000000"/>
          <w:szCs w:val="22"/>
          <w:lang w:eastAsia="en-US"/>
        </w:rPr>
      </w:pPr>
      <w:r w:rsidRPr="00FE0C02">
        <w:rPr>
          <w:rFonts w:eastAsia="Calibri" w:cs="Times New Roman"/>
          <w:color w:val="000000"/>
          <w:szCs w:val="22"/>
          <w:lang w:eastAsia="en-US"/>
        </w:rPr>
        <w:t xml:space="preserve">As you are aware, the functions currently undertaken by HSE within its Building Safety Division will be transferring out of HSE and will be carried out instead by the BSR </w:t>
      </w:r>
      <w:r w:rsidR="001819BB">
        <w:rPr>
          <w:rFonts w:eastAsia="Calibri" w:cs="Times New Roman"/>
          <w:color w:val="000000"/>
          <w:szCs w:val="22"/>
          <w:lang w:eastAsia="en-US"/>
        </w:rPr>
        <w:t>from</w:t>
      </w:r>
      <w:r w:rsidR="00172C79">
        <w:rPr>
          <w:rFonts w:eastAsia="Calibri" w:cs="Times New Roman"/>
          <w:color w:val="000000"/>
          <w:szCs w:val="22"/>
          <w:lang w:eastAsia="en-US"/>
        </w:rPr>
        <w:t xml:space="preserve"> </w:t>
      </w:r>
      <w:r w:rsidRPr="00FE0C02">
        <w:rPr>
          <w:rFonts w:eastAsia="Calibri" w:cs="Times New Roman"/>
          <w:color w:val="000000"/>
          <w:szCs w:val="22"/>
          <w:lang w:eastAsia="en-US"/>
        </w:rPr>
        <w:t>1 </w:t>
      </w:r>
      <w:r w:rsidR="00272A3E">
        <w:rPr>
          <w:rFonts w:eastAsia="Calibri" w:cs="Times New Roman"/>
          <w:color w:val="000000"/>
          <w:szCs w:val="22"/>
          <w:lang w:eastAsia="en-US"/>
        </w:rPr>
        <w:t>June</w:t>
      </w:r>
      <w:r w:rsidRPr="00FE0C02">
        <w:rPr>
          <w:rFonts w:eastAsia="Calibri" w:cs="Times New Roman"/>
          <w:color w:val="000000"/>
          <w:szCs w:val="22"/>
          <w:lang w:eastAsia="en-US"/>
        </w:rPr>
        <w:t xml:space="preserve"> 2026</w:t>
      </w:r>
      <w:r w:rsidR="008F4E2B" w:rsidRPr="008F4E2B">
        <w:rPr>
          <w:rFonts w:eastAsia="Calibri" w:cs="Times New Roman"/>
          <w:bCs/>
          <w:szCs w:val="22"/>
          <w:lang w:eastAsia="en-US"/>
        </w:rPr>
        <w:t>.</w:t>
      </w:r>
      <w:r w:rsidRPr="00FE0C02">
        <w:rPr>
          <w:rFonts w:eastAsia="Calibri" w:cs="Times New Roman"/>
          <w:bCs/>
          <w:color w:val="000000"/>
          <w:szCs w:val="22"/>
          <w:lang w:eastAsia="en-US"/>
        </w:rPr>
        <w:t xml:space="preserve"> </w:t>
      </w:r>
      <w:r w:rsidRPr="00FE0C02">
        <w:rPr>
          <w:rFonts w:eastAsia="Calibri" w:cs="Times New Roman"/>
          <w:color w:val="000000"/>
          <w:szCs w:val="22"/>
          <w:lang w:eastAsia="en-US"/>
        </w:rPr>
        <w:t>This is expected to give rise to a transfer of employees, which will be carried out in accordance with the Cabinet Office Statement of Practice on Staff Transfers in the Public Sector (“</w:t>
      </w:r>
      <w:r w:rsidRPr="00FE0C02">
        <w:rPr>
          <w:rFonts w:eastAsia="Calibri" w:cs="Times New Roman"/>
          <w:b/>
          <w:color w:val="000000"/>
          <w:szCs w:val="22"/>
          <w:lang w:eastAsia="en-US"/>
        </w:rPr>
        <w:t>COSoP</w:t>
      </w:r>
      <w:r w:rsidRPr="00FE0C02">
        <w:rPr>
          <w:rFonts w:eastAsia="Calibri" w:cs="Times New Roman"/>
          <w:color w:val="000000"/>
          <w:szCs w:val="22"/>
          <w:lang w:eastAsia="en-US"/>
        </w:rPr>
        <w:t xml:space="preserve">”). </w:t>
      </w:r>
    </w:p>
    <w:p w14:paraId="6D490F4F" w14:textId="6E0D3A7C" w:rsidR="00656823" w:rsidRDefault="00D76E7A" w:rsidP="00FB1469">
      <w:pPr>
        <w:spacing w:after="240" w:line="280" w:lineRule="exact"/>
      </w:pPr>
      <w:r>
        <w:t xml:space="preserve">In accordance with COSoP, we previously sent you our </w:t>
      </w:r>
      <w:r w:rsidRPr="0011413C">
        <w:t xml:space="preserve">statement of </w:t>
      </w:r>
      <w:r>
        <w:t xml:space="preserve">proposed </w:t>
      </w:r>
      <w:r w:rsidRPr="0011413C">
        <w:t>change</w:t>
      </w:r>
      <w:r>
        <w:t>s</w:t>
      </w:r>
      <w:r w:rsidRPr="0011413C">
        <w:t xml:space="preserve"> </w:t>
      </w:r>
      <w:r>
        <w:t xml:space="preserve">dated </w:t>
      </w:r>
      <w:r w:rsidR="00DF20B3">
        <w:t>30 December 2025</w:t>
      </w:r>
      <w:r w:rsidR="007942F3">
        <w:t xml:space="preserve">. As indicated </w:t>
      </w:r>
      <w:r w:rsidR="0025312D">
        <w:t>in the statement</w:t>
      </w:r>
      <w:r w:rsidR="00B01B4E">
        <w:t>,</w:t>
      </w:r>
      <w:r w:rsidR="0025312D">
        <w:t xml:space="preserve"> </w:t>
      </w:r>
      <w:r w:rsidR="00FB1469" w:rsidRPr="00FE0C02">
        <w:rPr>
          <w:rFonts w:eastAsia="Calibri" w:cs="Times New Roman"/>
          <w:color w:val="000000"/>
          <w:szCs w:val="22"/>
          <w:lang w:eastAsia="en-US"/>
        </w:rPr>
        <w:t xml:space="preserve">BSR </w:t>
      </w:r>
      <w:r w:rsidR="002D6CF5">
        <w:rPr>
          <w:rFonts w:eastAsia="Calibri" w:cs="Times New Roman"/>
          <w:color w:val="000000"/>
          <w:szCs w:val="22"/>
          <w:lang w:eastAsia="en-US"/>
        </w:rPr>
        <w:t>did</w:t>
      </w:r>
      <w:r w:rsidR="00FB1469" w:rsidRPr="00FE0C02">
        <w:rPr>
          <w:rFonts w:eastAsia="Calibri" w:cs="Times New Roman"/>
          <w:color w:val="000000"/>
          <w:szCs w:val="22"/>
          <w:lang w:eastAsia="en-US"/>
        </w:rPr>
        <w:t xml:space="preserve"> not envisage implementing any changes to transferring employees’ current working practices or arrangements and no changes </w:t>
      </w:r>
      <w:r w:rsidR="003C378F">
        <w:rPr>
          <w:rFonts w:eastAsia="Calibri" w:cs="Times New Roman"/>
          <w:color w:val="000000"/>
          <w:szCs w:val="22"/>
          <w:lang w:eastAsia="en-US"/>
        </w:rPr>
        <w:t xml:space="preserve">were </w:t>
      </w:r>
      <w:r w:rsidR="008B26DD">
        <w:rPr>
          <w:rFonts w:eastAsia="Calibri" w:cs="Times New Roman"/>
          <w:color w:val="000000"/>
          <w:szCs w:val="22"/>
          <w:lang w:eastAsia="en-US"/>
        </w:rPr>
        <w:t xml:space="preserve">envisaged </w:t>
      </w:r>
      <w:r w:rsidR="00FB1469" w:rsidRPr="00FE0C02">
        <w:rPr>
          <w:rFonts w:eastAsia="Calibri" w:cs="Times New Roman"/>
          <w:color w:val="000000"/>
          <w:szCs w:val="22"/>
          <w:lang w:eastAsia="en-US"/>
        </w:rPr>
        <w:t xml:space="preserve">in respect of their current terms and conditions of employment. However, as BSR </w:t>
      </w:r>
      <w:r w:rsidR="00B01B4E">
        <w:rPr>
          <w:rFonts w:eastAsia="Calibri" w:cs="Times New Roman"/>
          <w:color w:val="000000"/>
          <w:szCs w:val="22"/>
          <w:lang w:eastAsia="en-US"/>
        </w:rPr>
        <w:t>has been established as</w:t>
      </w:r>
      <w:r w:rsidR="00FB1469" w:rsidRPr="00FE0C02">
        <w:rPr>
          <w:rFonts w:eastAsia="Calibri" w:cs="Times New Roman"/>
          <w:color w:val="000000"/>
          <w:szCs w:val="22"/>
          <w:lang w:eastAsia="en-US"/>
        </w:rPr>
        <w:t xml:space="preserve"> a non-Crown NDPB, the transfer will result in transferring employees</w:t>
      </w:r>
      <w:r w:rsidR="00965562">
        <w:rPr>
          <w:rFonts w:eastAsia="Calibri" w:cs="Times New Roman"/>
          <w:color w:val="000000"/>
          <w:szCs w:val="22"/>
          <w:lang w:eastAsia="en-US"/>
        </w:rPr>
        <w:t xml:space="preserve"> </w:t>
      </w:r>
      <w:r w:rsidR="00FB1469" w:rsidRPr="00FE0C02">
        <w:rPr>
          <w:rFonts w:eastAsia="Calibri" w:cs="Times New Roman"/>
          <w:color w:val="000000"/>
          <w:szCs w:val="22"/>
          <w:lang w:eastAsia="en-US"/>
        </w:rPr>
        <w:t>no longer being civil servants and the consequence</w:t>
      </w:r>
      <w:r w:rsidR="004E345C">
        <w:rPr>
          <w:rFonts w:eastAsia="Calibri" w:cs="Times New Roman"/>
          <w:color w:val="000000"/>
          <w:szCs w:val="22"/>
          <w:lang w:eastAsia="en-US"/>
        </w:rPr>
        <w:t>s</w:t>
      </w:r>
      <w:r w:rsidR="00FB1469" w:rsidRPr="00FE0C02">
        <w:rPr>
          <w:rFonts w:eastAsia="Calibri" w:cs="Times New Roman"/>
          <w:color w:val="000000"/>
          <w:szCs w:val="22"/>
          <w:lang w:eastAsia="en-US"/>
        </w:rPr>
        <w:t xml:space="preserve"> of this change in status are set out in the enclosed </w:t>
      </w:r>
      <w:r w:rsidR="00193ED2">
        <w:rPr>
          <w:rFonts w:eastAsia="Calibri" w:cs="Times New Roman"/>
          <w:color w:val="000000"/>
          <w:szCs w:val="22"/>
          <w:lang w:eastAsia="en-US"/>
        </w:rPr>
        <w:t xml:space="preserve">final </w:t>
      </w:r>
      <w:r w:rsidR="00FB1469" w:rsidRPr="00FE0C02">
        <w:rPr>
          <w:rFonts w:eastAsia="Calibri" w:cs="Times New Roman"/>
          <w:color w:val="000000"/>
          <w:szCs w:val="22"/>
          <w:lang w:eastAsia="en-US"/>
        </w:rPr>
        <w:t>Statement of Changes.</w:t>
      </w:r>
      <w:r w:rsidR="00656823" w:rsidRPr="00656823">
        <w:t xml:space="preserve"> </w:t>
      </w:r>
    </w:p>
    <w:p w14:paraId="44C0B931" w14:textId="6159A233" w:rsidR="00FB1469" w:rsidRDefault="000336BC" w:rsidP="00FB1469">
      <w:pPr>
        <w:spacing w:after="240" w:line="280" w:lineRule="exact"/>
        <w:rPr>
          <w:rFonts w:eastAsia="Calibri" w:cs="Times New Roman"/>
          <w:color w:val="FF0000"/>
          <w:szCs w:val="22"/>
          <w:lang w:eastAsia="en-US"/>
        </w:rPr>
      </w:pPr>
      <w:r>
        <w:t>S</w:t>
      </w:r>
      <w:r w:rsidR="00656823">
        <w:t xml:space="preserve">ince submitting </w:t>
      </w:r>
      <w:r w:rsidR="00B01B4E">
        <w:t xml:space="preserve">our initial </w:t>
      </w:r>
      <w:r w:rsidR="00656823">
        <w:t xml:space="preserve">statement of proposed changes, we have supported you in consulting with your recognised Trade Union regarding </w:t>
      </w:r>
      <w:r w:rsidR="00193ED2">
        <w:t xml:space="preserve">the </w:t>
      </w:r>
      <w:r w:rsidR="0031565D">
        <w:t>p</w:t>
      </w:r>
      <w:r w:rsidR="00656823">
        <w:t>roposed changes.</w:t>
      </w:r>
      <w:r w:rsidR="003E2874" w:rsidRPr="003E2874">
        <w:rPr>
          <w:rFonts w:cs="Times New Roman"/>
          <w:color w:val="000000"/>
          <w:szCs w:val="20"/>
        </w:rPr>
        <w:t xml:space="preserve"> </w:t>
      </w:r>
      <w:r w:rsidR="003E2874">
        <w:rPr>
          <w:rFonts w:cs="Times New Roman"/>
          <w:color w:val="000000"/>
          <w:szCs w:val="20"/>
        </w:rPr>
        <w:t xml:space="preserve">As discussed during the consultation process and </w:t>
      </w:r>
      <w:r w:rsidR="003E2874">
        <w:t>as</w:t>
      </w:r>
      <w:r w:rsidR="003E2874" w:rsidRPr="00B96603">
        <w:t xml:space="preserve"> set out in the attached </w:t>
      </w:r>
      <w:r w:rsidR="004D410C">
        <w:t xml:space="preserve">updated </w:t>
      </w:r>
      <w:r w:rsidR="003463E2">
        <w:t>final</w:t>
      </w:r>
      <w:r w:rsidR="00B01B4E">
        <w:t xml:space="preserve"> </w:t>
      </w:r>
      <w:r w:rsidR="003E2874">
        <w:t xml:space="preserve">statement of </w:t>
      </w:r>
      <w:r w:rsidR="003E2874" w:rsidRPr="00B96603">
        <w:t>change</w:t>
      </w:r>
      <w:r w:rsidR="003E2874">
        <w:t>s</w:t>
      </w:r>
      <w:r w:rsidR="003E2874" w:rsidRPr="00B96603">
        <w:t xml:space="preserve"> (appendix 1)</w:t>
      </w:r>
      <w:r w:rsidR="00E37D22">
        <w:t>;</w:t>
      </w:r>
      <w:r w:rsidR="00272A3E">
        <w:t xml:space="preserve"> </w:t>
      </w:r>
      <w:r w:rsidR="003E2874" w:rsidRPr="00B22367">
        <w:t>limited changes to individual terms and conditions of employment</w:t>
      </w:r>
      <w:r w:rsidR="003E2874">
        <w:t xml:space="preserve"> are proposed in connection with the transfer</w:t>
      </w:r>
      <w:r w:rsidR="00272A3E">
        <w:t>.</w:t>
      </w:r>
    </w:p>
    <w:p w14:paraId="2CE93E3B" w14:textId="46B5FBB6" w:rsidR="00272A3E" w:rsidRDefault="00D210A8" w:rsidP="00FB1469">
      <w:pPr>
        <w:spacing w:after="240" w:line="280" w:lineRule="exact"/>
        <w:rPr>
          <w:rFonts w:eastAsia="Calibri" w:cs="Times New Roman"/>
          <w:szCs w:val="22"/>
          <w:lang w:eastAsia="en-US"/>
        </w:rPr>
      </w:pPr>
      <w:r w:rsidRPr="00272A3E">
        <w:rPr>
          <w:rFonts w:eastAsia="Calibri" w:cs="Times New Roman"/>
          <w:szCs w:val="22"/>
          <w:lang w:eastAsia="en-US"/>
        </w:rPr>
        <w:t xml:space="preserve">It has been confirmed that BSR will be </w:t>
      </w:r>
      <w:r w:rsidR="008768DC" w:rsidRPr="00272A3E">
        <w:rPr>
          <w:rFonts w:eastAsia="Calibri" w:cs="Times New Roman"/>
          <w:szCs w:val="22"/>
          <w:lang w:eastAsia="en-US"/>
        </w:rPr>
        <w:t>adopting HSE</w:t>
      </w:r>
      <w:r w:rsidRPr="00272A3E">
        <w:rPr>
          <w:rFonts w:eastAsia="Calibri" w:cs="Times New Roman"/>
          <w:szCs w:val="22"/>
          <w:lang w:eastAsia="en-US"/>
        </w:rPr>
        <w:t xml:space="preserve"> </w:t>
      </w:r>
      <w:r w:rsidR="00546872" w:rsidRPr="00272A3E">
        <w:rPr>
          <w:rFonts w:eastAsia="Calibri" w:cs="Times New Roman"/>
          <w:szCs w:val="22"/>
          <w:lang w:eastAsia="en-US"/>
        </w:rPr>
        <w:t>p</w:t>
      </w:r>
      <w:r w:rsidRPr="00272A3E">
        <w:rPr>
          <w:rFonts w:eastAsia="Calibri" w:cs="Times New Roman"/>
          <w:szCs w:val="22"/>
          <w:lang w:eastAsia="en-US"/>
        </w:rPr>
        <w:t>olicies</w:t>
      </w:r>
      <w:r w:rsidR="000877C8" w:rsidRPr="00272A3E">
        <w:rPr>
          <w:rFonts w:eastAsia="Calibri" w:cs="Times New Roman"/>
          <w:szCs w:val="22"/>
          <w:lang w:eastAsia="en-US"/>
        </w:rPr>
        <w:t>,</w:t>
      </w:r>
      <w:r w:rsidRPr="00272A3E">
        <w:rPr>
          <w:rFonts w:eastAsia="Calibri" w:cs="Times New Roman"/>
          <w:szCs w:val="22"/>
          <w:lang w:eastAsia="en-US"/>
        </w:rPr>
        <w:t xml:space="preserve"> </w:t>
      </w:r>
      <w:r w:rsidR="00546872" w:rsidRPr="00272A3E">
        <w:rPr>
          <w:rFonts w:eastAsia="Calibri" w:cs="Times New Roman"/>
          <w:szCs w:val="22"/>
          <w:lang w:eastAsia="en-US"/>
        </w:rPr>
        <w:t xml:space="preserve">working practices </w:t>
      </w:r>
      <w:r w:rsidR="00272A3E" w:rsidRPr="00272A3E">
        <w:rPr>
          <w:rFonts w:eastAsia="Calibri" w:cs="Times New Roman"/>
          <w:szCs w:val="22"/>
          <w:lang w:eastAsia="en-US"/>
        </w:rPr>
        <w:t>and</w:t>
      </w:r>
      <w:r w:rsidR="00546872" w:rsidRPr="00272A3E">
        <w:rPr>
          <w:rFonts w:eastAsia="Calibri" w:cs="Times New Roman"/>
          <w:szCs w:val="22"/>
          <w:lang w:eastAsia="en-US"/>
        </w:rPr>
        <w:t xml:space="preserve"> arrangements</w:t>
      </w:r>
      <w:r w:rsidR="00CD38F7" w:rsidRPr="00272A3E">
        <w:rPr>
          <w:rFonts w:eastAsia="Calibri" w:cs="Times New Roman"/>
          <w:szCs w:val="22"/>
          <w:lang w:eastAsia="en-US"/>
        </w:rPr>
        <w:t xml:space="preserve">. </w:t>
      </w:r>
      <w:r w:rsidR="00870A85">
        <w:rPr>
          <w:rFonts w:eastAsia="Calibri" w:cs="Times New Roman"/>
          <w:szCs w:val="22"/>
          <w:lang w:eastAsia="en-US"/>
        </w:rPr>
        <w:t xml:space="preserve">Save as set out in the attached </w:t>
      </w:r>
      <w:r w:rsidR="00384955">
        <w:rPr>
          <w:rFonts w:eastAsia="Calibri" w:cs="Times New Roman"/>
          <w:szCs w:val="22"/>
          <w:lang w:eastAsia="en-US"/>
        </w:rPr>
        <w:t>final s</w:t>
      </w:r>
      <w:r w:rsidR="00870A85">
        <w:rPr>
          <w:rFonts w:eastAsia="Calibri" w:cs="Times New Roman"/>
          <w:szCs w:val="22"/>
          <w:lang w:eastAsia="en-US"/>
        </w:rPr>
        <w:t xml:space="preserve">tatement of </w:t>
      </w:r>
      <w:r w:rsidR="00384955">
        <w:rPr>
          <w:rFonts w:eastAsia="Calibri" w:cs="Times New Roman"/>
          <w:szCs w:val="22"/>
          <w:lang w:eastAsia="en-US"/>
        </w:rPr>
        <w:t>c</w:t>
      </w:r>
      <w:r w:rsidR="00870A85">
        <w:rPr>
          <w:rFonts w:eastAsia="Calibri" w:cs="Times New Roman"/>
          <w:szCs w:val="22"/>
          <w:lang w:eastAsia="en-US"/>
        </w:rPr>
        <w:t>hanges (appendix 1), n</w:t>
      </w:r>
      <w:r w:rsidR="00030ABE">
        <w:rPr>
          <w:rFonts w:eastAsia="Calibri" w:cs="Times New Roman"/>
          <w:szCs w:val="22"/>
          <w:lang w:eastAsia="en-US"/>
        </w:rPr>
        <w:t xml:space="preserve">o </w:t>
      </w:r>
      <w:r w:rsidR="007409DF">
        <w:rPr>
          <w:rFonts w:eastAsia="Calibri" w:cs="Times New Roman"/>
          <w:szCs w:val="22"/>
          <w:lang w:eastAsia="en-US"/>
        </w:rPr>
        <w:lastRenderedPageBreak/>
        <w:t xml:space="preserve">substantive </w:t>
      </w:r>
      <w:r w:rsidR="00030ABE">
        <w:rPr>
          <w:rFonts w:eastAsia="Calibri" w:cs="Times New Roman"/>
          <w:szCs w:val="22"/>
          <w:lang w:eastAsia="en-US"/>
        </w:rPr>
        <w:t xml:space="preserve">changes have been made to such HSE policies, although </w:t>
      </w:r>
      <w:r w:rsidR="00CD38F7" w:rsidRPr="00272A3E">
        <w:rPr>
          <w:rFonts w:eastAsia="Calibri" w:cs="Times New Roman"/>
          <w:szCs w:val="22"/>
          <w:lang w:eastAsia="en-US"/>
        </w:rPr>
        <w:t>BSR</w:t>
      </w:r>
      <w:r w:rsidR="000877C8" w:rsidRPr="00272A3E">
        <w:rPr>
          <w:rFonts w:eastAsia="Calibri" w:cs="Times New Roman"/>
          <w:szCs w:val="22"/>
          <w:lang w:eastAsia="en-US"/>
        </w:rPr>
        <w:t xml:space="preserve"> </w:t>
      </w:r>
      <w:r w:rsidR="00030ABE">
        <w:rPr>
          <w:rFonts w:eastAsia="Calibri" w:cs="Times New Roman"/>
          <w:szCs w:val="22"/>
          <w:lang w:eastAsia="en-US"/>
        </w:rPr>
        <w:t xml:space="preserve">is in the process of reviewing these </w:t>
      </w:r>
      <w:r w:rsidR="007409DF">
        <w:rPr>
          <w:rFonts w:eastAsia="Calibri" w:cs="Times New Roman"/>
          <w:szCs w:val="22"/>
          <w:lang w:eastAsia="en-US"/>
        </w:rPr>
        <w:t xml:space="preserve">policies </w:t>
      </w:r>
      <w:r w:rsidR="006A7341" w:rsidRPr="00272A3E">
        <w:rPr>
          <w:rFonts w:eastAsia="Calibri" w:cs="Times New Roman"/>
          <w:szCs w:val="22"/>
          <w:lang w:eastAsia="en-US"/>
        </w:rPr>
        <w:t xml:space="preserve">to personalise </w:t>
      </w:r>
      <w:r w:rsidR="007409DF">
        <w:rPr>
          <w:rFonts w:eastAsia="Calibri" w:cs="Times New Roman"/>
          <w:szCs w:val="22"/>
          <w:lang w:eastAsia="en-US"/>
        </w:rPr>
        <w:t>them</w:t>
      </w:r>
      <w:r w:rsidR="00675633">
        <w:rPr>
          <w:rFonts w:eastAsia="Calibri" w:cs="Times New Roman"/>
          <w:szCs w:val="22"/>
          <w:lang w:eastAsia="en-US"/>
        </w:rPr>
        <w:t xml:space="preserve"> purely from a procedural perspective</w:t>
      </w:r>
      <w:r w:rsidR="007409DF">
        <w:rPr>
          <w:rFonts w:eastAsia="Calibri" w:cs="Times New Roman"/>
          <w:szCs w:val="22"/>
          <w:lang w:eastAsia="en-US"/>
        </w:rPr>
        <w:t xml:space="preserve"> </w:t>
      </w:r>
      <w:r w:rsidR="00030ABE">
        <w:rPr>
          <w:rFonts w:eastAsia="Calibri" w:cs="Times New Roman"/>
          <w:szCs w:val="22"/>
          <w:lang w:eastAsia="en-US"/>
        </w:rPr>
        <w:t>for use in BSR</w:t>
      </w:r>
      <w:r w:rsidR="00BB009D">
        <w:rPr>
          <w:rFonts w:eastAsia="Calibri" w:cs="Times New Roman"/>
          <w:szCs w:val="22"/>
          <w:lang w:eastAsia="en-US"/>
        </w:rPr>
        <w:t xml:space="preserve"> e.g. to reflect there being no HR Director within BSR but rather a Head of HR</w:t>
      </w:r>
      <w:r w:rsidR="00030ABE">
        <w:rPr>
          <w:rFonts w:eastAsia="Calibri" w:cs="Times New Roman"/>
          <w:szCs w:val="22"/>
          <w:lang w:eastAsia="en-US"/>
        </w:rPr>
        <w:t xml:space="preserve">. </w:t>
      </w:r>
      <w:r w:rsidR="00546872" w:rsidRPr="00272A3E">
        <w:rPr>
          <w:rFonts w:eastAsia="Calibri" w:cs="Times New Roman"/>
          <w:szCs w:val="22"/>
          <w:lang w:eastAsia="en-US"/>
        </w:rPr>
        <w:t xml:space="preserve"> </w:t>
      </w:r>
    </w:p>
    <w:p w14:paraId="308D5D6D" w14:textId="2A4C5ED1" w:rsidR="00FB1469" w:rsidRPr="00272A3E" w:rsidRDefault="00272A3E" w:rsidP="00FB1469">
      <w:pPr>
        <w:spacing w:after="240" w:line="280" w:lineRule="exact"/>
        <w:rPr>
          <w:rFonts w:eastAsia="Calibri" w:cs="Times New Roman"/>
          <w:szCs w:val="22"/>
          <w:lang w:eastAsia="en-US"/>
        </w:rPr>
      </w:pPr>
      <w:r>
        <w:rPr>
          <w:rFonts w:eastAsia="Calibri" w:cs="Times New Roman"/>
          <w:color w:val="000000"/>
          <w:szCs w:val="22"/>
          <w:lang w:eastAsia="en-US"/>
        </w:rPr>
        <w:t>I</w:t>
      </w:r>
      <w:r w:rsidR="00D07E44">
        <w:rPr>
          <w:rFonts w:eastAsia="Calibri" w:cs="Times New Roman"/>
          <w:color w:val="000000"/>
          <w:szCs w:val="22"/>
          <w:lang w:eastAsia="en-US"/>
        </w:rPr>
        <w:t xml:space="preserve">t </w:t>
      </w:r>
      <w:r>
        <w:rPr>
          <w:rFonts w:eastAsia="Calibri" w:cs="Times New Roman"/>
          <w:color w:val="000000"/>
          <w:szCs w:val="22"/>
          <w:lang w:eastAsia="en-US"/>
        </w:rPr>
        <w:t>h</w:t>
      </w:r>
      <w:r w:rsidR="00D07E44">
        <w:rPr>
          <w:rFonts w:eastAsia="Calibri" w:cs="Times New Roman"/>
          <w:color w:val="000000"/>
          <w:szCs w:val="22"/>
          <w:lang w:eastAsia="en-US"/>
        </w:rPr>
        <w:t>as</w:t>
      </w:r>
      <w:r>
        <w:rPr>
          <w:rFonts w:eastAsia="Calibri" w:cs="Times New Roman"/>
          <w:color w:val="000000"/>
          <w:szCs w:val="22"/>
          <w:lang w:eastAsia="en-US"/>
        </w:rPr>
        <w:t xml:space="preserve"> been</w:t>
      </w:r>
      <w:r w:rsidR="00D07E44">
        <w:rPr>
          <w:rFonts w:eastAsia="Calibri" w:cs="Times New Roman"/>
          <w:color w:val="000000"/>
          <w:szCs w:val="22"/>
          <w:lang w:eastAsia="en-US"/>
        </w:rPr>
        <w:t xml:space="preserve"> </w:t>
      </w:r>
      <w:r w:rsidR="003463E2">
        <w:rPr>
          <w:rFonts w:eastAsia="Calibri" w:cs="Times New Roman"/>
          <w:color w:val="000000"/>
          <w:szCs w:val="22"/>
          <w:lang w:eastAsia="en-US"/>
        </w:rPr>
        <w:t xml:space="preserve">confirmed </w:t>
      </w:r>
      <w:r w:rsidR="00D07E44">
        <w:rPr>
          <w:rFonts w:eastAsia="Calibri" w:cs="Times New Roman"/>
          <w:color w:val="000000"/>
          <w:szCs w:val="22"/>
          <w:lang w:eastAsia="en-US"/>
        </w:rPr>
        <w:t xml:space="preserve">that </w:t>
      </w:r>
      <w:r w:rsidR="00FB1469" w:rsidRPr="00FE0C02">
        <w:rPr>
          <w:rFonts w:eastAsia="Calibri" w:cs="Times New Roman"/>
          <w:color w:val="000000"/>
          <w:szCs w:val="22"/>
          <w:lang w:eastAsia="en-US"/>
        </w:rPr>
        <w:t>transferring employees will be able to continue to participate in the Civil Service Pension Scheme</w:t>
      </w:r>
      <w:r w:rsidR="00C7662C">
        <w:rPr>
          <w:rFonts w:eastAsia="Calibri" w:cs="Times New Roman"/>
          <w:color w:val="000000"/>
          <w:szCs w:val="22"/>
          <w:lang w:eastAsia="en-US"/>
        </w:rPr>
        <w:t xml:space="preserve"> and</w:t>
      </w:r>
      <w:r w:rsidR="00277AB4">
        <w:rPr>
          <w:rFonts w:eastAsia="Calibri" w:cs="Times New Roman"/>
          <w:color w:val="000000"/>
          <w:szCs w:val="22"/>
          <w:lang w:eastAsia="en-US"/>
        </w:rPr>
        <w:t xml:space="preserve"> will continue to be</w:t>
      </w:r>
      <w:r w:rsidR="00C7662C">
        <w:rPr>
          <w:rFonts w:eastAsia="Calibri" w:cs="Times New Roman"/>
          <w:color w:val="000000"/>
          <w:szCs w:val="22"/>
          <w:lang w:eastAsia="en-US"/>
        </w:rPr>
        <w:t xml:space="preserve"> eligible </w:t>
      </w:r>
      <w:r w:rsidR="00277AB4">
        <w:rPr>
          <w:rFonts w:eastAsia="Calibri" w:cs="Times New Roman"/>
          <w:color w:val="000000"/>
          <w:szCs w:val="22"/>
          <w:lang w:eastAsia="en-US"/>
        </w:rPr>
        <w:t xml:space="preserve">for </w:t>
      </w:r>
      <w:r w:rsidR="00730FD1" w:rsidRPr="00730FD1">
        <w:rPr>
          <w:rFonts w:eastAsia="Calibri" w:cs="Times New Roman"/>
          <w:color w:val="000000"/>
          <w:szCs w:val="22"/>
          <w:lang w:eastAsia="en-US"/>
        </w:rPr>
        <w:t xml:space="preserve">compensation </w:t>
      </w:r>
      <w:r w:rsidR="003463E2">
        <w:rPr>
          <w:rFonts w:eastAsia="Calibri" w:cs="Times New Roman"/>
          <w:color w:val="000000"/>
          <w:szCs w:val="22"/>
          <w:lang w:eastAsia="en-US"/>
        </w:rPr>
        <w:t xml:space="preserve">payments calculated </w:t>
      </w:r>
      <w:r w:rsidR="00366C22">
        <w:rPr>
          <w:rFonts w:eastAsia="Calibri" w:cs="Times New Roman"/>
          <w:color w:val="000000"/>
          <w:szCs w:val="22"/>
          <w:lang w:eastAsia="en-US"/>
        </w:rPr>
        <w:t>under t</w:t>
      </w:r>
      <w:r w:rsidR="00C7662C">
        <w:rPr>
          <w:rFonts w:eastAsia="Calibri" w:cs="Times New Roman"/>
          <w:color w:val="000000"/>
          <w:szCs w:val="22"/>
          <w:lang w:eastAsia="en-US"/>
        </w:rPr>
        <w:t>he C</w:t>
      </w:r>
      <w:r w:rsidR="00981185">
        <w:rPr>
          <w:rFonts w:eastAsia="Calibri" w:cs="Times New Roman"/>
          <w:color w:val="000000"/>
          <w:szCs w:val="22"/>
          <w:lang w:eastAsia="en-US"/>
        </w:rPr>
        <w:t>ivil</w:t>
      </w:r>
      <w:r w:rsidR="00C7662C">
        <w:rPr>
          <w:rFonts w:eastAsia="Calibri" w:cs="Times New Roman"/>
          <w:color w:val="000000"/>
          <w:szCs w:val="22"/>
          <w:lang w:eastAsia="en-US"/>
        </w:rPr>
        <w:t xml:space="preserve"> </w:t>
      </w:r>
      <w:r w:rsidR="00981185">
        <w:rPr>
          <w:rFonts w:eastAsia="Calibri" w:cs="Times New Roman"/>
          <w:color w:val="000000"/>
          <w:szCs w:val="22"/>
          <w:lang w:eastAsia="en-US"/>
        </w:rPr>
        <w:t>S</w:t>
      </w:r>
      <w:r w:rsidR="00C7662C">
        <w:rPr>
          <w:rFonts w:eastAsia="Calibri" w:cs="Times New Roman"/>
          <w:color w:val="000000"/>
          <w:szCs w:val="22"/>
          <w:lang w:eastAsia="en-US"/>
        </w:rPr>
        <w:t xml:space="preserve">ervice </w:t>
      </w:r>
      <w:r w:rsidR="00981185">
        <w:rPr>
          <w:rFonts w:eastAsia="Calibri" w:cs="Times New Roman"/>
          <w:color w:val="000000"/>
          <w:szCs w:val="22"/>
          <w:lang w:eastAsia="en-US"/>
        </w:rPr>
        <w:t>Compensation</w:t>
      </w:r>
      <w:r w:rsidR="00FD26C5">
        <w:rPr>
          <w:rFonts w:eastAsia="Calibri" w:cs="Times New Roman"/>
          <w:color w:val="000000"/>
          <w:szCs w:val="22"/>
          <w:lang w:eastAsia="en-US"/>
        </w:rPr>
        <w:t xml:space="preserve"> Scheme </w:t>
      </w:r>
      <w:r w:rsidR="003463E2">
        <w:rPr>
          <w:rFonts w:eastAsia="Calibri" w:cs="Times New Roman"/>
          <w:color w:val="000000"/>
          <w:szCs w:val="22"/>
          <w:lang w:eastAsia="en-US"/>
        </w:rPr>
        <w:t xml:space="preserve">in accordance with </w:t>
      </w:r>
      <w:r w:rsidR="0043531B">
        <w:rPr>
          <w:rFonts w:eastAsia="Calibri" w:cs="Times New Roman"/>
          <w:color w:val="000000"/>
          <w:szCs w:val="22"/>
          <w:lang w:eastAsia="en-US"/>
        </w:rPr>
        <w:t>the rule</w:t>
      </w:r>
      <w:r w:rsidR="003463E2">
        <w:rPr>
          <w:rFonts w:eastAsia="Calibri" w:cs="Times New Roman"/>
          <w:color w:val="000000"/>
          <w:szCs w:val="22"/>
          <w:lang w:eastAsia="en-US"/>
        </w:rPr>
        <w:t>s</w:t>
      </w:r>
      <w:r w:rsidR="0043531B">
        <w:rPr>
          <w:rFonts w:eastAsia="Calibri" w:cs="Times New Roman"/>
          <w:color w:val="000000"/>
          <w:szCs w:val="22"/>
          <w:lang w:eastAsia="en-US"/>
        </w:rPr>
        <w:t xml:space="preserve"> applica</w:t>
      </w:r>
      <w:r w:rsidR="0054034D">
        <w:rPr>
          <w:rFonts w:eastAsia="Calibri" w:cs="Times New Roman"/>
          <w:color w:val="000000"/>
          <w:szCs w:val="22"/>
          <w:lang w:eastAsia="en-US"/>
        </w:rPr>
        <w:t>ble at the time</w:t>
      </w:r>
      <w:r w:rsidR="003463E2">
        <w:rPr>
          <w:rFonts w:eastAsia="Calibri" w:cs="Times New Roman"/>
          <w:color w:val="000000"/>
          <w:szCs w:val="22"/>
          <w:lang w:eastAsia="en-US"/>
        </w:rPr>
        <w:t xml:space="preserve"> of any redundancy</w:t>
      </w:r>
      <w:r w:rsidR="00965562">
        <w:rPr>
          <w:rFonts w:eastAsia="Calibri" w:cs="Times New Roman"/>
          <w:color w:val="000000"/>
          <w:szCs w:val="22"/>
          <w:lang w:eastAsia="en-US"/>
        </w:rPr>
        <w:t xml:space="preserve"> or voluntary exit</w:t>
      </w:r>
      <w:r w:rsidR="0054034D">
        <w:rPr>
          <w:rFonts w:eastAsia="Calibri" w:cs="Times New Roman"/>
          <w:color w:val="000000"/>
          <w:szCs w:val="22"/>
          <w:lang w:eastAsia="en-US"/>
        </w:rPr>
        <w:t>.</w:t>
      </w:r>
      <w:r w:rsidR="00FD26C5">
        <w:rPr>
          <w:rFonts w:eastAsia="Calibri" w:cs="Times New Roman"/>
          <w:color w:val="000000"/>
          <w:szCs w:val="22"/>
          <w:lang w:eastAsia="en-US"/>
        </w:rPr>
        <w:t xml:space="preserve"> </w:t>
      </w:r>
      <w:r w:rsidR="00FB1469" w:rsidRPr="00FE0C02">
        <w:rPr>
          <w:rFonts w:eastAsia="Calibri" w:cs="Times New Roman"/>
          <w:color w:val="000000"/>
          <w:szCs w:val="22"/>
          <w:lang w:eastAsia="en-US"/>
        </w:rPr>
        <w:t xml:space="preserve"> </w:t>
      </w:r>
      <w:r w:rsidR="009806D5" w:rsidRPr="009806D5">
        <w:rPr>
          <w:rFonts w:eastAsia="Calibri" w:cs="Times New Roman"/>
          <w:color w:val="000000"/>
          <w:szCs w:val="22"/>
          <w:lang w:eastAsia="en-US"/>
        </w:rPr>
        <w:t>There are no redundancies envisaged at this time.</w:t>
      </w:r>
    </w:p>
    <w:p w14:paraId="0AEEA3E7" w14:textId="238E0D84" w:rsidR="00197B4F" w:rsidRPr="00CA595F" w:rsidRDefault="007C3783" w:rsidP="007C3783">
      <w:pPr>
        <w:spacing w:after="240"/>
        <w:rPr>
          <w:rFonts w:cs="Times New Roman"/>
          <w:color w:val="000000"/>
          <w:szCs w:val="20"/>
        </w:rPr>
      </w:pPr>
      <w:r w:rsidRPr="00D33588">
        <w:rPr>
          <w:rFonts w:cs="Times New Roman"/>
          <w:color w:val="000000"/>
          <w:szCs w:val="20"/>
        </w:rPr>
        <w:t xml:space="preserve">We </w:t>
      </w:r>
      <w:r w:rsidR="00197B4F">
        <w:rPr>
          <w:rFonts w:cs="Times New Roman"/>
          <w:color w:val="000000"/>
          <w:szCs w:val="20"/>
        </w:rPr>
        <w:t xml:space="preserve">appreciate that you have already shared a copy of </w:t>
      </w:r>
      <w:r>
        <w:rPr>
          <w:rFonts w:cs="Times New Roman"/>
          <w:color w:val="000000"/>
          <w:szCs w:val="20"/>
        </w:rPr>
        <w:t>this letter and</w:t>
      </w:r>
      <w:r w:rsidRPr="00D33588">
        <w:rPr>
          <w:rFonts w:cs="Times New Roman"/>
          <w:color w:val="000000"/>
          <w:szCs w:val="20"/>
        </w:rPr>
        <w:t xml:space="preserve"> the attached </w:t>
      </w:r>
      <w:r w:rsidR="003463E2">
        <w:rPr>
          <w:rFonts w:cs="Times New Roman"/>
          <w:color w:val="000000"/>
          <w:szCs w:val="20"/>
        </w:rPr>
        <w:t xml:space="preserve">final </w:t>
      </w:r>
      <w:r w:rsidRPr="00D33588">
        <w:rPr>
          <w:rFonts w:cs="Times New Roman"/>
          <w:color w:val="000000"/>
          <w:szCs w:val="20"/>
        </w:rPr>
        <w:t xml:space="preserve">statement </w:t>
      </w:r>
      <w:r>
        <w:rPr>
          <w:rFonts w:cs="Times New Roman"/>
          <w:color w:val="000000"/>
          <w:szCs w:val="20"/>
        </w:rPr>
        <w:t>of changes</w:t>
      </w:r>
      <w:r w:rsidR="003463E2">
        <w:rPr>
          <w:rFonts w:cs="Times New Roman"/>
          <w:color w:val="000000"/>
          <w:szCs w:val="20"/>
        </w:rPr>
        <w:t xml:space="preserve"> set out in</w:t>
      </w:r>
      <w:r>
        <w:rPr>
          <w:rFonts w:cs="Times New Roman"/>
          <w:color w:val="000000"/>
          <w:szCs w:val="20"/>
        </w:rPr>
        <w:t xml:space="preserve"> </w:t>
      </w:r>
      <w:r w:rsidR="00B63BC5">
        <w:rPr>
          <w:rFonts w:cs="Times New Roman"/>
          <w:color w:val="000000"/>
          <w:szCs w:val="20"/>
        </w:rPr>
        <w:t>appendix 1</w:t>
      </w:r>
      <w:r w:rsidR="0026007B">
        <w:rPr>
          <w:rFonts w:cs="Times New Roman"/>
          <w:color w:val="000000"/>
          <w:szCs w:val="20"/>
        </w:rPr>
        <w:t xml:space="preserve"> </w:t>
      </w:r>
      <w:r>
        <w:rPr>
          <w:rFonts w:cs="Times New Roman"/>
          <w:color w:val="000000"/>
          <w:szCs w:val="20"/>
        </w:rPr>
        <w:t xml:space="preserve">with your </w:t>
      </w:r>
      <w:r w:rsidRPr="00D33588">
        <w:rPr>
          <w:rFonts w:cs="Times New Roman"/>
          <w:color w:val="000000"/>
          <w:szCs w:val="20"/>
        </w:rPr>
        <w:t>recognised Trade Union</w:t>
      </w:r>
      <w:r w:rsidR="00197B4F">
        <w:rPr>
          <w:rFonts w:cs="Times New Roman"/>
          <w:color w:val="000000"/>
          <w:szCs w:val="20"/>
        </w:rPr>
        <w:t xml:space="preserve"> and they have provided us with their comments</w:t>
      </w:r>
      <w:r>
        <w:rPr>
          <w:rFonts w:cs="Times New Roman"/>
          <w:color w:val="000000"/>
          <w:szCs w:val="20"/>
        </w:rPr>
        <w:t xml:space="preserve">. </w:t>
      </w:r>
      <w:r w:rsidR="009C7125">
        <w:rPr>
          <w:rFonts w:cs="Times New Roman"/>
          <w:color w:val="000000"/>
          <w:szCs w:val="20"/>
        </w:rPr>
        <w:t>We have no objections to your sharing this with Trade Union colleagues again.</w:t>
      </w:r>
    </w:p>
    <w:p w14:paraId="24732335" w14:textId="26DEF21D" w:rsidR="00801106" w:rsidRDefault="00DE7273" w:rsidP="00801106">
      <w:pPr>
        <w:spacing w:after="240"/>
      </w:pPr>
      <w:r w:rsidRPr="00821978">
        <w:t xml:space="preserve">Subject to any further comments or concerns that are raised in advance of the transfer date, the </w:t>
      </w:r>
      <w:r w:rsidR="00E55B08" w:rsidRPr="00821978">
        <w:t xml:space="preserve">attached </w:t>
      </w:r>
      <w:r w:rsidR="009A38C4" w:rsidRPr="00821978">
        <w:t xml:space="preserve">changes will also be reflected </w:t>
      </w:r>
      <w:r w:rsidR="00801106" w:rsidRPr="00821978">
        <w:t xml:space="preserve">in individual statements of particulars (terms and conditions) which will be issued by </w:t>
      </w:r>
      <w:r w:rsidR="00E86AE5" w:rsidRPr="00821978">
        <w:t xml:space="preserve">BSR </w:t>
      </w:r>
      <w:r w:rsidR="00801106" w:rsidRPr="00821978">
        <w:t>together with a welcome letter and a copy of th</w:t>
      </w:r>
      <w:r w:rsidR="00680F6A" w:rsidRPr="00821978">
        <w:t>e</w:t>
      </w:r>
      <w:r w:rsidR="00801106" w:rsidRPr="00821978">
        <w:t xml:space="preserve"> final statement of change</w:t>
      </w:r>
      <w:r w:rsidR="00680F6A" w:rsidRPr="00821978">
        <w:t>s</w:t>
      </w:r>
      <w:r w:rsidR="00801106" w:rsidRPr="00821978">
        <w:t xml:space="preserve"> prior to transfer</w:t>
      </w:r>
      <w:r w:rsidR="00801106" w:rsidRPr="00CA595F">
        <w:t>.</w:t>
      </w:r>
      <w:r w:rsidR="00801106">
        <w:t xml:space="preserve"> </w:t>
      </w:r>
    </w:p>
    <w:p w14:paraId="0D09A6FA" w14:textId="3B0054E2" w:rsidR="007C3783" w:rsidRDefault="007C3783" w:rsidP="007C3783">
      <w:pPr>
        <w:spacing w:after="240"/>
        <w:rPr>
          <w:rFonts w:cs="Times New Roman"/>
          <w:color w:val="000000"/>
          <w:szCs w:val="20"/>
        </w:rPr>
      </w:pPr>
      <w:r>
        <w:rPr>
          <w:rFonts w:cs="Times New Roman"/>
          <w:color w:val="000000"/>
          <w:szCs w:val="20"/>
        </w:rPr>
        <w:t xml:space="preserve">We very much look forward to welcoming colleagues to </w:t>
      </w:r>
      <w:r w:rsidR="00F9336B">
        <w:rPr>
          <w:rFonts w:cs="Times New Roman"/>
          <w:color w:val="000000"/>
          <w:szCs w:val="20"/>
        </w:rPr>
        <w:t xml:space="preserve">BSR </w:t>
      </w:r>
      <w:r>
        <w:rPr>
          <w:rFonts w:cs="Times New Roman"/>
          <w:color w:val="000000"/>
          <w:szCs w:val="20"/>
        </w:rPr>
        <w:t>on 1</w:t>
      </w:r>
      <w:r w:rsidRPr="00497249">
        <w:rPr>
          <w:rFonts w:cs="Times New Roman"/>
          <w:color w:val="000000"/>
          <w:szCs w:val="20"/>
          <w:vertAlign w:val="superscript"/>
        </w:rPr>
        <w:t>st</w:t>
      </w:r>
      <w:r>
        <w:rPr>
          <w:rFonts w:cs="Times New Roman"/>
          <w:color w:val="000000"/>
          <w:szCs w:val="20"/>
        </w:rPr>
        <w:t xml:space="preserve"> </w:t>
      </w:r>
      <w:r w:rsidR="00F9336B">
        <w:rPr>
          <w:rFonts w:cs="Times New Roman"/>
          <w:color w:val="000000"/>
          <w:szCs w:val="20"/>
        </w:rPr>
        <w:t>June</w:t>
      </w:r>
      <w:r>
        <w:rPr>
          <w:rFonts w:cs="Times New Roman"/>
          <w:color w:val="000000"/>
          <w:szCs w:val="20"/>
        </w:rPr>
        <w:t xml:space="preserve"> 202</w:t>
      </w:r>
      <w:r w:rsidR="00F9336B">
        <w:rPr>
          <w:rFonts w:cs="Times New Roman"/>
          <w:color w:val="000000"/>
          <w:szCs w:val="20"/>
        </w:rPr>
        <w:t>6</w:t>
      </w:r>
      <w:r>
        <w:rPr>
          <w:rFonts w:cs="Times New Roman"/>
          <w:color w:val="000000"/>
          <w:szCs w:val="20"/>
        </w:rPr>
        <w:t xml:space="preserve">. </w:t>
      </w:r>
    </w:p>
    <w:p w14:paraId="362A9C3F" w14:textId="77777777" w:rsidR="00361A5B" w:rsidRDefault="00361A5B" w:rsidP="00FB1469">
      <w:pPr>
        <w:spacing w:after="240" w:line="280" w:lineRule="exact"/>
        <w:rPr>
          <w:rFonts w:eastAsia="Calibri" w:cs="Times New Roman"/>
          <w:color w:val="000000"/>
          <w:szCs w:val="22"/>
          <w:lang w:eastAsia="en-US"/>
        </w:rPr>
      </w:pPr>
    </w:p>
    <w:p w14:paraId="74A1D3DC" w14:textId="524061B2" w:rsidR="00FB1469" w:rsidRPr="00FE0C02" w:rsidRDefault="00FB1469" w:rsidP="007D6F9D">
      <w:pPr>
        <w:tabs>
          <w:tab w:val="left" w:pos="6630"/>
        </w:tabs>
        <w:spacing w:after="240" w:line="280" w:lineRule="exact"/>
        <w:rPr>
          <w:rFonts w:eastAsia="Calibri" w:cs="Times New Roman"/>
          <w:color w:val="000000"/>
          <w:szCs w:val="22"/>
          <w:lang w:eastAsia="en-US"/>
        </w:rPr>
      </w:pPr>
      <w:r w:rsidRPr="00FE0C02">
        <w:rPr>
          <w:rFonts w:eastAsia="Calibri" w:cs="Times New Roman"/>
          <w:color w:val="000000"/>
          <w:szCs w:val="22"/>
          <w:lang w:eastAsia="en-US"/>
        </w:rPr>
        <w:t>Yours sincerely</w:t>
      </w:r>
      <w:r w:rsidR="007D6F9D">
        <w:rPr>
          <w:rFonts w:eastAsia="Calibri" w:cs="Times New Roman"/>
          <w:color w:val="000000"/>
          <w:szCs w:val="22"/>
          <w:lang w:eastAsia="en-US"/>
        </w:rPr>
        <w:tab/>
      </w:r>
    </w:p>
    <w:p w14:paraId="039EBFEF" w14:textId="4E7E4D2E" w:rsidR="009F5446" w:rsidRPr="00FE0C02" w:rsidRDefault="00755246" w:rsidP="00FB1469">
      <w:pPr>
        <w:rPr>
          <w:rFonts w:eastAsia="Calibri" w:cs="Times New Roman"/>
          <w:color w:val="000000"/>
          <w:szCs w:val="22"/>
          <w:lang w:eastAsia="en-US"/>
        </w:rPr>
      </w:pPr>
      <w:r>
        <w:rPr>
          <w:rFonts w:eastAsia="Calibri" w:cs="Times New Roman"/>
          <w:color w:val="000000"/>
          <w:szCs w:val="22"/>
          <w:lang w:eastAsia="en-US"/>
        </w:rPr>
        <w:t>Debbie Crewe</w:t>
      </w:r>
    </w:p>
    <w:p w14:paraId="23A3C933" w14:textId="28CD09AB" w:rsidR="00755246" w:rsidRDefault="00755246" w:rsidP="00FB1469">
      <w:pPr>
        <w:rPr>
          <w:rFonts w:eastAsia="Calibri" w:cs="Times New Roman"/>
          <w:color w:val="000000"/>
          <w:szCs w:val="22"/>
          <w:lang w:eastAsia="en-US"/>
        </w:rPr>
      </w:pPr>
      <w:r>
        <w:rPr>
          <w:rFonts w:eastAsia="Calibri" w:cs="Times New Roman"/>
          <w:color w:val="000000"/>
          <w:szCs w:val="22"/>
          <w:lang w:eastAsia="en-US"/>
        </w:rPr>
        <w:t>Deputy Director, PC&amp;C</w:t>
      </w:r>
      <w:r w:rsidR="009F5446" w:rsidRPr="00FE0C02">
        <w:rPr>
          <w:rFonts w:eastAsia="Calibri" w:cs="Times New Roman"/>
          <w:color w:val="000000"/>
          <w:szCs w:val="22"/>
          <w:lang w:eastAsia="en-US"/>
        </w:rPr>
        <w:t xml:space="preserve">, MHCLG </w:t>
      </w:r>
      <w:r w:rsidR="008561A6" w:rsidRPr="00FE0C02">
        <w:rPr>
          <w:rFonts w:eastAsia="Calibri" w:cs="Times New Roman"/>
          <w:color w:val="000000"/>
          <w:szCs w:val="22"/>
          <w:lang w:eastAsia="en-US"/>
        </w:rPr>
        <w:t>on behalf of BSR</w:t>
      </w:r>
    </w:p>
    <w:p w14:paraId="55EB3C5A" w14:textId="77777777" w:rsidR="00755246" w:rsidRDefault="00755246" w:rsidP="00FB1469">
      <w:pPr>
        <w:rPr>
          <w:rFonts w:eastAsia="Calibri" w:cs="Times New Roman"/>
          <w:color w:val="000000"/>
          <w:szCs w:val="22"/>
          <w:lang w:eastAsia="en-US"/>
        </w:rPr>
      </w:pPr>
    </w:p>
    <w:p w14:paraId="58ECCCF7" w14:textId="77777777" w:rsidR="00755246" w:rsidRDefault="00755246" w:rsidP="00FB1469">
      <w:pPr>
        <w:rPr>
          <w:rFonts w:eastAsia="Calibri" w:cs="Times New Roman"/>
          <w:color w:val="000000"/>
          <w:szCs w:val="22"/>
          <w:lang w:eastAsia="en-US"/>
        </w:rPr>
      </w:pPr>
      <w:r>
        <w:rPr>
          <w:rFonts w:eastAsia="Calibri" w:cs="Times New Roman"/>
          <w:color w:val="000000"/>
          <w:szCs w:val="22"/>
          <w:lang w:eastAsia="en-US"/>
        </w:rPr>
        <w:t>Amy Turner</w:t>
      </w:r>
    </w:p>
    <w:p w14:paraId="45FA4557" w14:textId="2E4846F7" w:rsidR="00FB1469" w:rsidRPr="00FE0C02" w:rsidRDefault="00FB3E10" w:rsidP="00FB1469">
      <w:pPr>
        <w:rPr>
          <w:b/>
          <w:bCs/>
          <w:color w:val="000000"/>
        </w:rPr>
      </w:pPr>
      <w:r>
        <w:rPr>
          <w:rFonts w:eastAsia="Calibri" w:cs="Times New Roman"/>
          <w:color w:val="000000"/>
          <w:szCs w:val="22"/>
          <w:lang w:eastAsia="en-US"/>
        </w:rPr>
        <w:t>BSR Interim Head of HR</w:t>
      </w:r>
      <w:r w:rsidR="00FB1469" w:rsidRPr="00FE0C02">
        <w:rPr>
          <w:b/>
          <w:bCs/>
        </w:rPr>
        <w:br w:type="page"/>
      </w:r>
    </w:p>
    <w:p w14:paraId="2D42FB57" w14:textId="77777777" w:rsidR="00FB1469" w:rsidRPr="00FE0C02" w:rsidRDefault="00FB1469" w:rsidP="00FB1469">
      <w:pPr>
        <w:pStyle w:val="CSHRBodyText"/>
        <w:ind w:left="284"/>
        <w:rPr>
          <w:rFonts w:cs="Arial"/>
          <w:b/>
          <w:bCs/>
          <w:szCs w:val="24"/>
        </w:rPr>
      </w:pPr>
    </w:p>
    <w:p w14:paraId="7DB0FF2F" w14:textId="0D4B75F3" w:rsidR="00FB1469" w:rsidRPr="00D70780" w:rsidRDefault="00FB1469" w:rsidP="00FB1469">
      <w:pPr>
        <w:pStyle w:val="CSHRBodyText"/>
        <w:ind w:left="284"/>
        <w:rPr>
          <w:rFonts w:cs="Arial"/>
          <w:b/>
          <w:bCs/>
          <w:color w:val="FF0000"/>
          <w:szCs w:val="24"/>
        </w:rPr>
      </w:pPr>
      <w:r w:rsidRPr="00FE0C02">
        <w:rPr>
          <w:rFonts w:cs="Arial"/>
          <w:b/>
          <w:bCs/>
          <w:szCs w:val="24"/>
        </w:rPr>
        <w:t xml:space="preserve">APPENDIX </w:t>
      </w:r>
      <w:r w:rsidR="00DC1683">
        <w:rPr>
          <w:rFonts w:cs="Arial"/>
          <w:b/>
          <w:bCs/>
          <w:szCs w:val="24"/>
        </w:rPr>
        <w:t>–</w:t>
      </w:r>
      <w:r w:rsidRPr="00FE0C02">
        <w:rPr>
          <w:rFonts w:cs="Arial"/>
          <w:b/>
          <w:bCs/>
          <w:szCs w:val="24"/>
        </w:rPr>
        <w:t xml:space="preserve"> </w:t>
      </w:r>
      <w:r w:rsidR="00DC1683">
        <w:rPr>
          <w:rFonts w:cs="Arial"/>
          <w:b/>
          <w:bCs/>
          <w:szCs w:val="24"/>
        </w:rPr>
        <w:t xml:space="preserve">FINAL </w:t>
      </w:r>
      <w:r w:rsidRPr="00FE0C02">
        <w:rPr>
          <w:rFonts w:cs="Arial"/>
          <w:b/>
          <w:bCs/>
          <w:szCs w:val="24"/>
        </w:rPr>
        <w:t xml:space="preserve">STATEMENT OF CHANGES </w:t>
      </w:r>
    </w:p>
    <w:p w14:paraId="08D7E48F" w14:textId="75CF1BD3" w:rsidR="00FB1469" w:rsidRDefault="00197B4F" w:rsidP="00FB1469">
      <w:pPr>
        <w:spacing w:after="240" w:line="280" w:lineRule="exact"/>
        <w:ind w:left="284"/>
      </w:pPr>
      <w:r>
        <w:rPr>
          <w:rFonts w:eastAsia="Calibri" w:cs="Times New Roman"/>
          <w:color w:val="000000"/>
          <w:szCs w:val="22"/>
          <w:lang w:eastAsia="en-US"/>
        </w:rPr>
        <w:t>A</w:t>
      </w:r>
      <w:r w:rsidR="00FB1469" w:rsidRPr="00FE0C02">
        <w:rPr>
          <w:rFonts w:eastAsia="Calibri" w:cs="Times New Roman"/>
          <w:color w:val="000000"/>
          <w:szCs w:val="22"/>
          <w:lang w:eastAsia="en-US"/>
        </w:rPr>
        <w:t xml:space="preserve">s BSR </w:t>
      </w:r>
      <w:r w:rsidR="00095A4C">
        <w:rPr>
          <w:rFonts w:eastAsia="Calibri" w:cs="Times New Roman"/>
          <w:color w:val="000000"/>
          <w:szCs w:val="22"/>
          <w:lang w:eastAsia="en-US"/>
        </w:rPr>
        <w:t xml:space="preserve">has been established as </w:t>
      </w:r>
      <w:r w:rsidR="00FB1469" w:rsidRPr="00FE0C02">
        <w:rPr>
          <w:rFonts w:eastAsia="Calibri" w:cs="Times New Roman"/>
          <w:color w:val="000000"/>
          <w:szCs w:val="22"/>
          <w:lang w:eastAsia="en-US"/>
        </w:rPr>
        <w:t>a non-Crown NDPB, the transfer will result in transferring employees no longer being civil servants and the consequence</w:t>
      </w:r>
      <w:r w:rsidR="004E345C">
        <w:rPr>
          <w:rFonts w:eastAsia="Calibri" w:cs="Times New Roman"/>
          <w:color w:val="000000"/>
          <w:szCs w:val="22"/>
          <w:lang w:eastAsia="en-US"/>
        </w:rPr>
        <w:t>s</w:t>
      </w:r>
      <w:r w:rsidR="00FB1469" w:rsidRPr="00FE0C02">
        <w:rPr>
          <w:rFonts w:eastAsia="Calibri" w:cs="Times New Roman"/>
          <w:color w:val="000000"/>
          <w:szCs w:val="22"/>
          <w:lang w:eastAsia="en-US"/>
        </w:rPr>
        <w:t xml:space="preserve"> of this change in status are </w:t>
      </w:r>
      <w:r w:rsidR="00622B77">
        <w:rPr>
          <w:rFonts w:eastAsia="Calibri" w:cs="Times New Roman"/>
          <w:color w:val="000000"/>
          <w:szCs w:val="22"/>
          <w:lang w:eastAsia="en-US"/>
        </w:rPr>
        <w:t>summarised in the below table</w:t>
      </w:r>
      <w:r w:rsidR="00FB1469" w:rsidRPr="00FE0C02">
        <w:rPr>
          <w:rFonts w:eastAsia="Calibri" w:cs="Times New Roman"/>
          <w:color w:val="000000"/>
          <w:szCs w:val="22"/>
          <w:lang w:eastAsia="en-US"/>
        </w:rPr>
        <w:t>.</w:t>
      </w:r>
      <w:r w:rsidR="00FB1469" w:rsidRPr="00FE0C02">
        <w:t xml:space="preserve"> </w:t>
      </w:r>
    </w:p>
    <w:p w14:paraId="77BB781D" w14:textId="650FB5F1" w:rsidR="00622B77" w:rsidRDefault="00622B77" w:rsidP="00622B77">
      <w:pPr>
        <w:spacing w:after="240" w:line="280" w:lineRule="exact"/>
        <w:ind w:left="284"/>
        <w:rPr>
          <w:rFonts w:eastAsia="Calibri" w:cs="Times New Roman"/>
          <w:color w:val="000000"/>
          <w:szCs w:val="22"/>
          <w:lang w:eastAsia="en-US"/>
        </w:rPr>
      </w:pPr>
      <w:r>
        <w:rPr>
          <w:rFonts w:eastAsia="Calibri" w:cs="Times New Roman"/>
          <w:color w:val="000000"/>
          <w:szCs w:val="22"/>
          <w:lang w:eastAsia="en-US"/>
        </w:rPr>
        <w:t xml:space="preserve">Notwithstanding this change in </w:t>
      </w:r>
      <w:r w:rsidR="00697037">
        <w:rPr>
          <w:rFonts w:eastAsia="Calibri" w:cs="Times New Roman"/>
          <w:color w:val="000000"/>
          <w:szCs w:val="22"/>
          <w:lang w:eastAsia="en-US"/>
        </w:rPr>
        <w:t>C</w:t>
      </w:r>
      <w:r>
        <w:rPr>
          <w:rFonts w:eastAsia="Calibri" w:cs="Times New Roman"/>
          <w:color w:val="000000"/>
          <w:szCs w:val="22"/>
          <w:lang w:eastAsia="en-US"/>
        </w:rPr>
        <w:t xml:space="preserve">ivil </w:t>
      </w:r>
      <w:r w:rsidR="00697037">
        <w:rPr>
          <w:rFonts w:eastAsia="Calibri" w:cs="Times New Roman"/>
          <w:color w:val="000000"/>
          <w:szCs w:val="22"/>
          <w:lang w:eastAsia="en-US"/>
        </w:rPr>
        <w:t>S</w:t>
      </w:r>
      <w:r>
        <w:rPr>
          <w:rFonts w:eastAsia="Calibri" w:cs="Times New Roman"/>
          <w:color w:val="000000"/>
          <w:szCs w:val="22"/>
          <w:lang w:eastAsia="en-US"/>
        </w:rPr>
        <w:t xml:space="preserve">ervice status, </w:t>
      </w:r>
      <w:r w:rsidRPr="00FE0C02">
        <w:rPr>
          <w:rFonts w:eastAsia="Calibri" w:cs="Times New Roman"/>
          <w:color w:val="000000"/>
          <w:szCs w:val="22"/>
          <w:lang w:eastAsia="en-US"/>
        </w:rPr>
        <w:t xml:space="preserve">BSR do not envisage implementing any changes to transferring employees’ current working practices or arrangements and </w:t>
      </w:r>
      <w:r w:rsidR="00C158B9">
        <w:rPr>
          <w:rFonts w:eastAsia="Calibri" w:cs="Times New Roman"/>
          <w:color w:val="000000"/>
          <w:szCs w:val="22"/>
          <w:lang w:eastAsia="en-US"/>
        </w:rPr>
        <w:t>limited</w:t>
      </w:r>
      <w:r w:rsidRPr="00FE0C02">
        <w:rPr>
          <w:rFonts w:eastAsia="Calibri" w:cs="Times New Roman"/>
          <w:color w:val="000000"/>
          <w:szCs w:val="22"/>
          <w:lang w:eastAsia="en-US"/>
        </w:rPr>
        <w:t xml:space="preserve"> changes are proposed in respect of their current terms and conditions of employment.</w:t>
      </w:r>
      <w:r>
        <w:rPr>
          <w:rFonts w:eastAsia="Calibri" w:cs="Times New Roman"/>
          <w:color w:val="000000"/>
          <w:szCs w:val="22"/>
          <w:lang w:eastAsia="en-US"/>
        </w:rPr>
        <w:t xml:space="preserve"> </w:t>
      </w:r>
      <w:r w:rsidR="00277EE6" w:rsidRPr="00FE0C02">
        <w:rPr>
          <w:rFonts w:eastAsia="Calibri" w:cs="Times New Roman"/>
          <w:color w:val="000000"/>
          <w:szCs w:val="22"/>
          <w:lang w:eastAsia="en-US"/>
        </w:rPr>
        <w:t>Transferring employees will maintain their period of continuous employment on transfer to BSR</w:t>
      </w:r>
      <w:r w:rsidR="00850017">
        <w:rPr>
          <w:rFonts w:eastAsia="Calibri" w:cs="Times New Roman"/>
          <w:color w:val="000000"/>
          <w:szCs w:val="22"/>
          <w:lang w:eastAsia="en-US"/>
        </w:rPr>
        <w:t>.</w:t>
      </w:r>
    </w:p>
    <w:p w14:paraId="1A59A16B" w14:textId="4C309F10" w:rsidR="00622B77" w:rsidRPr="00FE0C02" w:rsidRDefault="00622B77" w:rsidP="00277EE6">
      <w:pPr>
        <w:spacing w:after="240" w:line="280" w:lineRule="exact"/>
        <w:ind w:left="284"/>
        <w:rPr>
          <w:rFonts w:eastAsia="Calibri" w:cs="Times New Roman"/>
          <w:color w:val="000000"/>
          <w:szCs w:val="22"/>
          <w:lang w:eastAsia="en-US"/>
        </w:rPr>
      </w:pPr>
      <w:r>
        <w:rPr>
          <w:rFonts w:eastAsia="Calibri" w:cs="Times New Roman"/>
          <w:color w:val="000000"/>
          <w:szCs w:val="22"/>
          <w:lang w:eastAsia="en-US"/>
        </w:rPr>
        <w:t>T</w:t>
      </w:r>
      <w:r w:rsidR="00277EE6">
        <w:rPr>
          <w:rFonts w:eastAsia="Calibri" w:cs="Times New Roman"/>
          <w:color w:val="000000"/>
          <w:szCs w:val="22"/>
          <w:lang w:eastAsia="en-US"/>
        </w:rPr>
        <w:t>o confirm, t</w:t>
      </w:r>
      <w:r>
        <w:rPr>
          <w:rFonts w:eastAsia="Calibri" w:cs="Times New Roman"/>
          <w:color w:val="000000"/>
          <w:szCs w:val="22"/>
          <w:lang w:eastAsia="en-US"/>
        </w:rPr>
        <w:t xml:space="preserve">his </w:t>
      </w:r>
      <w:r w:rsidR="00F007C5">
        <w:rPr>
          <w:rFonts w:eastAsia="Calibri" w:cs="Times New Roman"/>
          <w:color w:val="000000"/>
          <w:szCs w:val="22"/>
          <w:lang w:eastAsia="en-US"/>
        </w:rPr>
        <w:t>statement</w:t>
      </w:r>
      <w:r w:rsidR="00850017">
        <w:rPr>
          <w:rFonts w:eastAsia="Calibri" w:cs="Times New Roman"/>
          <w:color w:val="000000"/>
          <w:szCs w:val="22"/>
          <w:lang w:eastAsia="en-US"/>
        </w:rPr>
        <w:t xml:space="preserve"> </w:t>
      </w:r>
      <w:r>
        <w:rPr>
          <w:rFonts w:eastAsia="Calibri" w:cs="Times New Roman"/>
          <w:color w:val="000000"/>
          <w:szCs w:val="22"/>
          <w:lang w:eastAsia="en-US"/>
        </w:rPr>
        <w:t xml:space="preserve">sets out </w:t>
      </w:r>
      <w:r w:rsidR="00277EE6">
        <w:rPr>
          <w:rFonts w:eastAsia="Calibri" w:cs="Times New Roman"/>
          <w:color w:val="000000"/>
          <w:szCs w:val="22"/>
          <w:lang w:eastAsia="en-US"/>
        </w:rPr>
        <w:t xml:space="preserve">those areas </w:t>
      </w:r>
      <w:r>
        <w:rPr>
          <w:rFonts w:eastAsia="Calibri" w:cs="Times New Roman"/>
          <w:color w:val="000000"/>
          <w:szCs w:val="22"/>
          <w:lang w:eastAsia="en-US"/>
        </w:rPr>
        <w:t>which will change</w:t>
      </w:r>
      <w:r w:rsidR="00277EE6">
        <w:rPr>
          <w:rFonts w:eastAsia="Calibri" w:cs="Times New Roman"/>
          <w:color w:val="000000"/>
          <w:szCs w:val="22"/>
          <w:lang w:eastAsia="en-US"/>
        </w:rPr>
        <w:t xml:space="preserve"> or which require specific clarification </w:t>
      </w:r>
      <w:proofErr w:type="gramStart"/>
      <w:r w:rsidR="00277EE6">
        <w:rPr>
          <w:rFonts w:eastAsia="Calibri" w:cs="Times New Roman"/>
          <w:color w:val="000000"/>
          <w:szCs w:val="22"/>
          <w:lang w:eastAsia="en-US"/>
        </w:rPr>
        <w:t>as a result of</w:t>
      </w:r>
      <w:proofErr w:type="gramEnd"/>
      <w:r w:rsidR="00277EE6">
        <w:rPr>
          <w:rFonts w:eastAsia="Calibri" w:cs="Times New Roman"/>
          <w:color w:val="000000"/>
          <w:szCs w:val="22"/>
          <w:lang w:eastAsia="en-US"/>
        </w:rPr>
        <w:t xml:space="preserve"> the transfer to BSR, being a non-Crown NDPB. Any HSE terms and conditions or employment policies</w:t>
      </w:r>
      <w:r>
        <w:rPr>
          <w:rFonts w:eastAsia="Calibri" w:cs="Times New Roman"/>
          <w:color w:val="000000"/>
          <w:szCs w:val="22"/>
          <w:lang w:eastAsia="en-US"/>
        </w:rPr>
        <w:t xml:space="preserve"> not listed </w:t>
      </w:r>
      <w:r w:rsidR="00277EE6">
        <w:rPr>
          <w:rFonts w:eastAsia="Calibri" w:cs="Times New Roman"/>
          <w:color w:val="000000"/>
          <w:szCs w:val="22"/>
          <w:lang w:eastAsia="en-US"/>
        </w:rPr>
        <w:t xml:space="preserve">in the below table are not expected to </w:t>
      </w:r>
      <w:r>
        <w:rPr>
          <w:rFonts w:eastAsia="Calibri" w:cs="Times New Roman"/>
          <w:color w:val="000000"/>
          <w:szCs w:val="22"/>
          <w:lang w:eastAsia="en-US"/>
        </w:rPr>
        <w:t xml:space="preserve">change </w:t>
      </w:r>
      <w:proofErr w:type="gramStart"/>
      <w:r>
        <w:rPr>
          <w:rFonts w:eastAsia="Calibri" w:cs="Times New Roman"/>
          <w:color w:val="000000"/>
          <w:szCs w:val="22"/>
          <w:lang w:eastAsia="en-US"/>
        </w:rPr>
        <w:t>as a result of</w:t>
      </w:r>
      <w:proofErr w:type="gramEnd"/>
      <w:r>
        <w:rPr>
          <w:rFonts w:eastAsia="Calibri" w:cs="Times New Roman"/>
          <w:color w:val="000000"/>
          <w:szCs w:val="22"/>
          <w:lang w:eastAsia="en-US"/>
        </w:rPr>
        <w:t xml:space="preserve"> the </w:t>
      </w:r>
      <w:proofErr w:type="gramStart"/>
      <w:r>
        <w:rPr>
          <w:rFonts w:eastAsia="Calibri" w:cs="Times New Roman"/>
          <w:color w:val="000000"/>
          <w:szCs w:val="22"/>
          <w:lang w:eastAsia="en-US"/>
        </w:rPr>
        <w:t>transfer</w:t>
      </w:r>
      <w:r w:rsidR="00277EE6">
        <w:rPr>
          <w:rFonts w:eastAsia="Calibri" w:cs="Times New Roman"/>
          <w:color w:val="000000"/>
          <w:szCs w:val="22"/>
          <w:lang w:eastAsia="en-US"/>
        </w:rPr>
        <w:t>, but</w:t>
      </w:r>
      <w:proofErr w:type="gramEnd"/>
      <w:r w:rsidR="00277EE6">
        <w:rPr>
          <w:rFonts w:eastAsia="Calibri" w:cs="Times New Roman"/>
          <w:color w:val="000000"/>
          <w:szCs w:val="22"/>
          <w:lang w:eastAsia="en-US"/>
        </w:rPr>
        <w:t xml:space="preserve"> will be mirrored by BSR on transfer</w:t>
      </w:r>
      <w:r>
        <w:rPr>
          <w:rFonts w:eastAsia="Calibri" w:cs="Times New Roman"/>
          <w:color w:val="000000"/>
          <w:szCs w:val="22"/>
          <w:lang w:eastAsia="en-US"/>
        </w:rPr>
        <w:t>.</w:t>
      </w:r>
    </w:p>
    <w:p w14:paraId="7A5E6FD3" w14:textId="77777777" w:rsidR="00FB1469" w:rsidRPr="00FE0C02" w:rsidRDefault="00FB1469" w:rsidP="009A654C">
      <w:pPr>
        <w:spacing w:after="240" w:line="280" w:lineRule="exact"/>
        <w:ind w:left="284"/>
        <w:rPr>
          <w:rFonts w:eastAsia="Calibri"/>
          <w:b/>
          <w:bCs/>
          <w:szCs w:val="22"/>
          <w:u w:val="single"/>
          <w:lang w:eastAsia="en-US"/>
        </w:rPr>
      </w:pPr>
      <w:r w:rsidRPr="00FE0C02">
        <w:rPr>
          <w:rFonts w:eastAsia="Calibri"/>
          <w:b/>
          <w:bCs/>
          <w:szCs w:val="22"/>
          <w:u w:val="single"/>
          <w:lang w:eastAsia="en-US"/>
        </w:rPr>
        <w:t>Proposed changes</w:t>
      </w:r>
    </w:p>
    <w:tbl>
      <w:tblPr>
        <w:tblStyle w:val="TableGrid"/>
        <w:tblW w:w="9923" w:type="dxa"/>
        <w:tblInd w:w="137" w:type="dxa"/>
        <w:tblLook w:val="04A0" w:firstRow="1" w:lastRow="0" w:firstColumn="1" w:lastColumn="0" w:noHBand="0" w:noVBand="1"/>
        <w:tblCaption w:val="Transfer of Spinningfield employees to Victoria gate Agency measures statement"/>
      </w:tblPr>
      <w:tblGrid>
        <w:gridCol w:w="2204"/>
        <w:gridCol w:w="7719"/>
      </w:tblGrid>
      <w:tr w:rsidR="00FB1469" w:rsidRPr="00146776" w14:paraId="36D7482B" w14:textId="77777777" w:rsidTr="001E254C">
        <w:trPr>
          <w:tblHeader/>
        </w:trPr>
        <w:tc>
          <w:tcPr>
            <w:tcW w:w="2204" w:type="dxa"/>
          </w:tcPr>
          <w:p w14:paraId="13F4E5CB" w14:textId="77777777" w:rsidR="00FB1469" w:rsidRPr="00146776" w:rsidRDefault="00FB1469" w:rsidP="001E254C">
            <w:pPr>
              <w:pStyle w:val="Heading3"/>
              <w:rPr>
                <w:rFonts w:asciiTheme="minorHAnsi" w:hAnsiTheme="minorHAnsi" w:cstheme="minorHAnsi"/>
                <w:b/>
                <w:bCs/>
                <w:color w:val="auto"/>
                <w:sz w:val="24"/>
                <w:szCs w:val="24"/>
              </w:rPr>
            </w:pPr>
            <w:r w:rsidRPr="00146776">
              <w:rPr>
                <w:rFonts w:asciiTheme="minorHAnsi" w:hAnsiTheme="minorHAnsi" w:cstheme="minorHAnsi"/>
                <w:b/>
                <w:bCs/>
                <w:color w:val="auto"/>
                <w:sz w:val="24"/>
                <w:szCs w:val="24"/>
              </w:rPr>
              <w:t xml:space="preserve">Matter </w:t>
            </w:r>
          </w:p>
        </w:tc>
        <w:tc>
          <w:tcPr>
            <w:tcW w:w="7719" w:type="dxa"/>
          </w:tcPr>
          <w:p w14:paraId="35206534" w14:textId="77777777" w:rsidR="00FB1469" w:rsidRPr="00146776" w:rsidRDefault="00FB1469" w:rsidP="001E254C">
            <w:pPr>
              <w:pStyle w:val="Heading3"/>
              <w:rPr>
                <w:rFonts w:asciiTheme="minorHAnsi" w:hAnsiTheme="minorHAnsi" w:cstheme="minorHAnsi"/>
                <w:b/>
                <w:bCs/>
                <w:color w:val="auto"/>
                <w:sz w:val="24"/>
                <w:szCs w:val="24"/>
              </w:rPr>
            </w:pPr>
            <w:r w:rsidRPr="00146776">
              <w:rPr>
                <w:rFonts w:asciiTheme="minorHAnsi" w:hAnsiTheme="minorHAnsi" w:cstheme="minorHAnsi"/>
                <w:b/>
                <w:bCs/>
                <w:color w:val="auto"/>
                <w:sz w:val="24"/>
                <w:szCs w:val="24"/>
              </w:rPr>
              <w:t>Proposed Change</w:t>
            </w:r>
          </w:p>
        </w:tc>
      </w:tr>
      <w:tr w:rsidR="00FB1469" w:rsidRPr="00146776" w14:paraId="3B884B8D" w14:textId="77777777" w:rsidTr="001E254C">
        <w:tc>
          <w:tcPr>
            <w:tcW w:w="2204" w:type="dxa"/>
          </w:tcPr>
          <w:p w14:paraId="7BF87003" w14:textId="77777777" w:rsidR="00FB1469" w:rsidRPr="00146776" w:rsidRDefault="00FB1469" w:rsidP="001E254C">
            <w:pPr>
              <w:pStyle w:val="CSHRBodyText"/>
              <w:rPr>
                <w:rFonts w:asciiTheme="minorHAnsi" w:hAnsiTheme="minorHAnsi" w:cstheme="minorHAnsi"/>
                <w:b/>
                <w:sz w:val="24"/>
                <w:szCs w:val="24"/>
              </w:rPr>
            </w:pPr>
            <w:r w:rsidRPr="00146776">
              <w:rPr>
                <w:rFonts w:asciiTheme="minorHAnsi" w:hAnsiTheme="minorHAnsi" w:cstheme="minorHAnsi"/>
                <w:b/>
                <w:sz w:val="24"/>
                <w:szCs w:val="24"/>
              </w:rPr>
              <w:t>Employment status</w:t>
            </w:r>
          </w:p>
        </w:tc>
        <w:tc>
          <w:tcPr>
            <w:tcW w:w="7719" w:type="dxa"/>
          </w:tcPr>
          <w:p w14:paraId="04EE0D7E" w14:textId="061CD1A4" w:rsidR="00FB1469" w:rsidRPr="00146776" w:rsidRDefault="00FB1469" w:rsidP="001E254C">
            <w:pPr>
              <w:shd w:val="clear" w:color="auto" w:fill="FFFFFF"/>
              <w:spacing w:after="150"/>
              <w:rPr>
                <w:rFonts w:asciiTheme="minorHAnsi" w:hAnsiTheme="minorHAnsi" w:cstheme="minorHAnsi"/>
                <w:sz w:val="24"/>
                <w:szCs w:val="24"/>
              </w:rPr>
            </w:pPr>
            <w:r w:rsidRPr="00146776">
              <w:rPr>
                <w:rFonts w:asciiTheme="minorHAnsi" w:hAnsiTheme="minorHAnsi" w:cstheme="minorHAnsi"/>
                <w:sz w:val="24"/>
                <w:szCs w:val="24"/>
              </w:rPr>
              <w:t xml:space="preserve">Upon transfer to BSR, </w:t>
            </w:r>
            <w:r w:rsidR="003B61F5">
              <w:rPr>
                <w:rFonts w:asciiTheme="minorHAnsi" w:hAnsiTheme="minorHAnsi" w:cstheme="minorHAnsi"/>
                <w:sz w:val="24"/>
                <w:szCs w:val="24"/>
              </w:rPr>
              <w:t>transferring employees</w:t>
            </w:r>
            <w:r w:rsidRPr="00146776">
              <w:rPr>
                <w:rFonts w:asciiTheme="minorHAnsi" w:hAnsiTheme="minorHAnsi" w:cstheme="minorHAnsi"/>
                <w:sz w:val="24"/>
                <w:szCs w:val="24"/>
              </w:rPr>
              <w:t xml:space="preserve"> will no longer be civil servant</w:t>
            </w:r>
            <w:r w:rsidR="003B61F5">
              <w:rPr>
                <w:rFonts w:asciiTheme="minorHAnsi" w:hAnsiTheme="minorHAnsi" w:cstheme="minorHAnsi"/>
                <w:sz w:val="24"/>
                <w:szCs w:val="24"/>
              </w:rPr>
              <w:t>s</w:t>
            </w:r>
            <w:r w:rsidRPr="00146776">
              <w:rPr>
                <w:rFonts w:asciiTheme="minorHAnsi" w:hAnsiTheme="minorHAnsi" w:cstheme="minorHAnsi"/>
                <w:sz w:val="24"/>
                <w:szCs w:val="24"/>
              </w:rPr>
              <w:t xml:space="preserve"> but will instead be public servant</w:t>
            </w:r>
            <w:r w:rsidR="003B61F5">
              <w:rPr>
                <w:rFonts w:asciiTheme="minorHAnsi" w:hAnsiTheme="minorHAnsi" w:cstheme="minorHAnsi"/>
                <w:sz w:val="24"/>
                <w:szCs w:val="24"/>
              </w:rPr>
              <w:t>s</w:t>
            </w:r>
            <w:r w:rsidRPr="00146776">
              <w:rPr>
                <w:rFonts w:asciiTheme="minorHAnsi" w:hAnsiTheme="minorHAnsi" w:cstheme="minorHAnsi"/>
                <w:sz w:val="24"/>
                <w:szCs w:val="24"/>
              </w:rPr>
              <w:t xml:space="preserve">. This is on the basis that BSR </w:t>
            </w:r>
            <w:r w:rsidR="003B61F5">
              <w:rPr>
                <w:rFonts w:asciiTheme="minorHAnsi" w:hAnsiTheme="minorHAnsi" w:cstheme="minorHAnsi"/>
                <w:sz w:val="24"/>
                <w:szCs w:val="24"/>
              </w:rPr>
              <w:t>has been established as</w:t>
            </w:r>
            <w:r w:rsidRPr="00146776">
              <w:rPr>
                <w:rFonts w:asciiTheme="minorHAnsi" w:hAnsiTheme="minorHAnsi" w:cstheme="minorHAnsi"/>
                <w:sz w:val="24"/>
                <w:szCs w:val="24"/>
              </w:rPr>
              <w:t xml:space="preserve"> a new non-Crown NDPB, sponsored by MHCLG.  </w:t>
            </w:r>
          </w:p>
        </w:tc>
      </w:tr>
      <w:tr w:rsidR="00FB1469" w:rsidRPr="00146776" w14:paraId="43686783" w14:textId="77777777" w:rsidTr="001E254C">
        <w:tc>
          <w:tcPr>
            <w:tcW w:w="2204" w:type="dxa"/>
          </w:tcPr>
          <w:p w14:paraId="76C74393" w14:textId="77777777" w:rsidR="00FB1469" w:rsidRPr="00146776" w:rsidRDefault="00FB1469" w:rsidP="001E254C">
            <w:pPr>
              <w:pStyle w:val="CSHRBodyText"/>
              <w:rPr>
                <w:rFonts w:asciiTheme="minorHAnsi" w:hAnsiTheme="minorHAnsi" w:cstheme="minorHAnsi"/>
                <w:b/>
                <w:sz w:val="24"/>
                <w:szCs w:val="24"/>
              </w:rPr>
            </w:pPr>
            <w:r w:rsidRPr="00146776">
              <w:rPr>
                <w:rFonts w:asciiTheme="minorHAnsi" w:hAnsiTheme="minorHAnsi" w:cstheme="minorHAnsi"/>
                <w:b/>
                <w:sz w:val="24"/>
                <w:szCs w:val="24"/>
              </w:rPr>
              <w:t>Trade union recognition</w:t>
            </w:r>
          </w:p>
          <w:p w14:paraId="5578590F" w14:textId="77777777" w:rsidR="00FB1469" w:rsidRPr="00146776" w:rsidRDefault="00FB1469" w:rsidP="001E254C">
            <w:pPr>
              <w:pStyle w:val="CSHRBodyText"/>
              <w:rPr>
                <w:rFonts w:asciiTheme="minorHAnsi" w:hAnsiTheme="minorHAnsi" w:cstheme="minorHAnsi"/>
                <w:b/>
                <w:sz w:val="24"/>
                <w:szCs w:val="24"/>
              </w:rPr>
            </w:pPr>
          </w:p>
        </w:tc>
        <w:tc>
          <w:tcPr>
            <w:tcW w:w="7719" w:type="dxa"/>
          </w:tcPr>
          <w:p w14:paraId="04FD7BA1" w14:textId="50FD8067" w:rsidR="00FB1469" w:rsidRPr="00146776" w:rsidRDefault="00FB1469" w:rsidP="001E254C">
            <w:pPr>
              <w:shd w:val="clear" w:color="auto" w:fill="FFFFFF"/>
              <w:spacing w:after="150"/>
              <w:rPr>
                <w:rFonts w:asciiTheme="minorHAnsi" w:hAnsiTheme="minorHAnsi" w:cstheme="minorHAnsi"/>
                <w:sz w:val="24"/>
                <w:szCs w:val="24"/>
              </w:rPr>
            </w:pPr>
            <w:r w:rsidRPr="00146776">
              <w:rPr>
                <w:rFonts w:asciiTheme="minorHAnsi" w:hAnsiTheme="minorHAnsi" w:cstheme="minorHAnsi"/>
                <w:sz w:val="24"/>
                <w:szCs w:val="24"/>
              </w:rPr>
              <w:t xml:space="preserve">HSE formally recognises the following Trade Unions: (a) Public and Commercial Services Union (PCS), (b) Prospect, and (c) </w:t>
            </w:r>
            <w:r w:rsidR="00064E32" w:rsidRPr="00146776">
              <w:rPr>
                <w:rFonts w:asciiTheme="minorHAnsi" w:hAnsiTheme="minorHAnsi" w:cstheme="minorHAnsi"/>
                <w:sz w:val="24"/>
                <w:szCs w:val="24"/>
              </w:rPr>
              <w:t>FDA.</w:t>
            </w:r>
          </w:p>
          <w:p w14:paraId="0B7C878A" w14:textId="11C6F98B" w:rsidR="00FB1469" w:rsidRPr="00146776" w:rsidRDefault="00FB1469" w:rsidP="001E254C">
            <w:pPr>
              <w:shd w:val="clear" w:color="auto" w:fill="FFFFFF"/>
              <w:spacing w:after="150"/>
              <w:rPr>
                <w:rFonts w:asciiTheme="minorHAnsi" w:hAnsiTheme="minorHAnsi" w:cstheme="minorHAnsi"/>
                <w:sz w:val="24"/>
                <w:szCs w:val="24"/>
              </w:rPr>
            </w:pPr>
            <w:r w:rsidRPr="00146776">
              <w:rPr>
                <w:rFonts w:asciiTheme="minorHAnsi" w:hAnsiTheme="minorHAnsi" w:cstheme="minorHAnsi"/>
                <w:sz w:val="24"/>
                <w:szCs w:val="24"/>
              </w:rPr>
              <w:t xml:space="preserve">BSR </w:t>
            </w:r>
            <w:r w:rsidR="00064E32" w:rsidRPr="00146776">
              <w:rPr>
                <w:rFonts w:asciiTheme="minorHAnsi" w:hAnsiTheme="minorHAnsi" w:cstheme="minorHAnsi"/>
                <w:sz w:val="24"/>
                <w:szCs w:val="24"/>
              </w:rPr>
              <w:t xml:space="preserve">has </w:t>
            </w:r>
            <w:r w:rsidR="00CE7ED5">
              <w:rPr>
                <w:rFonts w:asciiTheme="minorHAnsi" w:hAnsiTheme="minorHAnsi" w:cstheme="minorHAnsi"/>
                <w:sz w:val="24"/>
                <w:szCs w:val="24"/>
              </w:rPr>
              <w:t xml:space="preserve">voluntarily </w:t>
            </w:r>
            <w:r w:rsidRPr="00146776">
              <w:rPr>
                <w:rFonts w:asciiTheme="minorHAnsi" w:hAnsiTheme="minorHAnsi" w:cstheme="minorHAnsi"/>
                <w:sz w:val="24"/>
                <w:szCs w:val="24"/>
              </w:rPr>
              <w:t>recognise</w:t>
            </w:r>
            <w:r w:rsidR="00064E32" w:rsidRPr="00146776">
              <w:rPr>
                <w:rFonts w:asciiTheme="minorHAnsi" w:hAnsiTheme="minorHAnsi" w:cstheme="minorHAnsi"/>
                <w:sz w:val="24"/>
                <w:szCs w:val="24"/>
              </w:rPr>
              <w:t>d</w:t>
            </w:r>
            <w:r w:rsidRPr="00146776">
              <w:rPr>
                <w:rFonts w:asciiTheme="minorHAnsi" w:hAnsiTheme="minorHAnsi" w:cstheme="minorHAnsi"/>
                <w:sz w:val="24"/>
                <w:szCs w:val="24"/>
              </w:rPr>
              <w:t xml:space="preserve"> </w:t>
            </w:r>
            <w:proofErr w:type="gramStart"/>
            <w:r w:rsidRPr="00146776">
              <w:rPr>
                <w:rFonts w:asciiTheme="minorHAnsi" w:hAnsiTheme="minorHAnsi" w:cstheme="minorHAnsi"/>
                <w:sz w:val="24"/>
                <w:szCs w:val="24"/>
              </w:rPr>
              <w:t>all of</w:t>
            </w:r>
            <w:proofErr w:type="gramEnd"/>
            <w:r w:rsidRPr="00146776">
              <w:rPr>
                <w:rFonts w:asciiTheme="minorHAnsi" w:hAnsiTheme="minorHAnsi" w:cstheme="minorHAnsi"/>
                <w:sz w:val="24"/>
                <w:szCs w:val="24"/>
              </w:rPr>
              <w:t xml:space="preserve"> these Trade Unions. </w:t>
            </w:r>
          </w:p>
        </w:tc>
      </w:tr>
      <w:tr w:rsidR="00FB1469" w:rsidRPr="00146776" w14:paraId="6B0E88F7" w14:textId="77777777" w:rsidTr="001E254C">
        <w:tc>
          <w:tcPr>
            <w:tcW w:w="2204" w:type="dxa"/>
          </w:tcPr>
          <w:p w14:paraId="1757F724" w14:textId="1951BFAE" w:rsidR="00FB1469" w:rsidRPr="00A7738F" w:rsidRDefault="00FB1469" w:rsidP="001E254C">
            <w:pPr>
              <w:pStyle w:val="CSHRBodyText"/>
              <w:rPr>
                <w:rFonts w:asciiTheme="minorHAnsi" w:hAnsiTheme="minorHAnsi" w:cstheme="minorHAnsi"/>
                <w:b/>
                <w:sz w:val="24"/>
                <w:szCs w:val="24"/>
                <w:lang w:val="fr-FR"/>
              </w:rPr>
            </w:pPr>
            <w:r w:rsidRPr="00A7738F">
              <w:rPr>
                <w:rFonts w:asciiTheme="minorHAnsi" w:hAnsiTheme="minorHAnsi" w:cstheme="minorHAnsi"/>
                <w:b/>
                <w:bCs/>
                <w:sz w:val="24"/>
                <w:szCs w:val="24"/>
                <w:lang w:val="fr-FR"/>
              </w:rPr>
              <w:t xml:space="preserve">Civil Service   Pension </w:t>
            </w:r>
            <w:r w:rsidR="00974583" w:rsidRPr="00A7738F">
              <w:rPr>
                <w:rFonts w:asciiTheme="minorHAnsi" w:hAnsiTheme="minorHAnsi" w:cstheme="minorHAnsi"/>
                <w:b/>
                <w:bCs/>
                <w:sz w:val="24"/>
                <w:szCs w:val="24"/>
                <w:lang w:val="fr-FR"/>
              </w:rPr>
              <w:t xml:space="preserve">Arrangements </w:t>
            </w:r>
            <w:r w:rsidRPr="00A7738F">
              <w:rPr>
                <w:rFonts w:asciiTheme="minorHAnsi" w:hAnsiTheme="minorHAnsi" w:cstheme="minorHAnsi"/>
                <w:b/>
                <w:bCs/>
                <w:sz w:val="24"/>
                <w:szCs w:val="24"/>
                <w:lang w:val="fr-FR"/>
              </w:rPr>
              <w:t>(CSP</w:t>
            </w:r>
            <w:r w:rsidR="00974583" w:rsidRPr="00A7738F">
              <w:rPr>
                <w:rFonts w:asciiTheme="minorHAnsi" w:hAnsiTheme="minorHAnsi" w:cstheme="minorHAnsi"/>
                <w:b/>
                <w:bCs/>
                <w:sz w:val="24"/>
                <w:szCs w:val="24"/>
                <w:lang w:val="fr-FR"/>
              </w:rPr>
              <w:t>A</w:t>
            </w:r>
            <w:r w:rsidRPr="00A7738F">
              <w:rPr>
                <w:rFonts w:asciiTheme="minorHAnsi" w:hAnsiTheme="minorHAnsi" w:cstheme="minorHAnsi"/>
                <w:b/>
                <w:bCs/>
                <w:sz w:val="24"/>
                <w:szCs w:val="24"/>
                <w:lang w:val="fr-FR"/>
              </w:rPr>
              <w:t>)</w:t>
            </w:r>
          </w:p>
        </w:tc>
        <w:tc>
          <w:tcPr>
            <w:tcW w:w="7719" w:type="dxa"/>
          </w:tcPr>
          <w:p w14:paraId="305FECDC" w14:textId="45CFA761" w:rsidR="00FB1469" w:rsidRPr="00146776" w:rsidRDefault="00F007C5" w:rsidP="00B947BA">
            <w:pPr>
              <w:rPr>
                <w:rFonts w:asciiTheme="minorHAnsi" w:hAnsiTheme="minorHAnsi" w:cstheme="minorHAnsi"/>
                <w:sz w:val="24"/>
                <w:szCs w:val="24"/>
                <w:lang w:eastAsia="en-US"/>
              </w:rPr>
            </w:pPr>
            <w:r w:rsidRPr="00F007C5">
              <w:rPr>
                <w:rFonts w:asciiTheme="minorHAnsi" w:hAnsiTheme="minorHAnsi" w:cstheme="minorHAnsi"/>
                <w:sz w:val="24"/>
                <w:szCs w:val="24"/>
                <w:lang w:eastAsia="en-US"/>
              </w:rPr>
              <w:t xml:space="preserve">Transferring employees will </w:t>
            </w:r>
            <w:r>
              <w:rPr>
                <w:rFonts w:asciiTheme="minorHAnsi" w:hAnsiTheme="minorHAnsi" w:cstheme="minorHAnsi"/>
                <w:sz w:val="24"/>
                <w:szCs w:val="24"/>
                <w:lang w:eastAsia="en-US"/>
              </w:rPr>
              <w:t xml:space="preserve">continue to be </w:t>
            </w:r>
            <w:r w:rsidR="00974583">
              <w:rPr>
                <w:rFonts w:asciiTheme="minorHAnsi" w:hAnsiTheme="minorHAnsi" w:cstheme="minorHAnsi"/>
                <w:sz w:val="24"/>
                <w:szCs w:val="24"/>
                <w:lang w:eastAsia="en-US"/>
              </w:rPr>
              <w:t xml:space="preserve">eligible for membership </w:t>
            </w:r>
            <w:r>
              <w:rPr>
                <w:rFonts w:asciiTheme="minorHAnsi" w:hAnsiTheme="minorHAnsi" w:cstheme="minorHAnsi"/>
                <w:sz w:val="24"/>
                <w:szCs w:val="24"/>
                <w:lang w:eastAsia="en-US"/>
              </w:rPr>
              <w:t xml:space="preserve">of the </w:t>
            </w:r>
            <w:r w:rsidRPr="00F007C5">
              <w:rPr>
                <w:rFonts w:asciiTheme="minorHAnsi" w:hAnsiTheme="minorHAnsi" w:cstheme="minorHAnsi"/>
                <w:sz w:val="24"/>
                <w:szCs w:val="24"/>
                <w:lang w:eastAsia="en-US"/>
              </w:rPr>
              <w:t xml:space="preserve">Civil Service Pension </w:t>
            </w:r>
            <w:r w:rsidR="00974583">
              <w:rPr>
                <w:rFonts w:asciiTheme="minorHAnsi" w:hAnsiTheme="minorHAnsi" w:cstheme="minorHAnsi"/>
                <w:sz w:val="24"/>
                <w:szCs w:val="24"/>
                <w:lang w:eastAsia="en-US"/>
              </w:rPr>
              <w:t>Arrangements</w:t>
            </w:r>
            <w:r>
              <w:rPr>
                <w:rFonts w:asciiTheme="minorHAnsi" w:hAnsiTheme="minorHAnsi" w:cstheme="minorHAnsi"/>
                <w:sz w:val="24"/>
                <w:szCs w:val="24"/>
                <w:lang w:eastAsia="en-US"/>
              </w:rPr>
              <w:t xml:space="preserve"> (CSP</w:t>
            </w:r>
            <w:r w:rsidR="00974583">
              <w:rPr>
                <w:rFonts w:asciiTheme="minorHAnsi" w:hAnsiTheme="minorHAnsi" w:cstheme="minorHAnsi"/>
                <w:sz w:val="24"/>
                <w:szCs w:val="24"/>
                <w:lang w:eastAsia="en-US"/>
              </w:rPr>
              <w:t>A</w:t>
            </w:r>
            <w:r>
              <w:rPr>
                <w:rFonts w:asciiTheme="minorHAnsi" w:hAnsiTheme="minorHAnsi" w:cstheme="minorHAnsi"/>
                <w:sz w:val="24"/>
                <w:szCs w:val="24"/>
                <w:lang w:eastAsia="en-US"/>
              </w:rPr>
              <w:t xml:space="preserve">) on transfer and will retain </w:t>
            </w:r>
            <w:r w:rsidRPr="00F007C5">
              <w:rPr>
                <w:rFonts w:asciiTheme="minorHAnsi" w:hAnsiTheme="minorHAnsi" w:cstheme="minorHAnsi"/>
                <w:sz w:val="24"/>
                <w:szCs w:val="24"/>
                <w:lang w:eastAsia="en-US"/>
              </w:rPr>
              <w:t xml:space="preserve">any pension benefits accrued prior to transfer. BSR will participate in the </w:t>
            </w:r>
            <w:r>
              <w:rPr>
                <w:rFonts w:asciiTheme="minorHAnsi" w:hAnsiTheme="minorHAnsi" w:cstheme="minorHAnsi"/>
                <w:sz w:val="24"/>
                <w:szCs w:val="24"/>
                <w:lang w:eastAsia="en-US"/>
              </w:rPr>
              <w:t>CSP</w:t>
            </w:r>
            <w:r w:rsidR="00974583">
              <w:rPr>
                <w:rFonts w:asciiTheme="minorHAnsi" w:hAnsiTheme="minorHAnsi" w:cstheme="minorHAnsi"/>
                <w:sz w:val="24"/>
                <w:szCs w:val="24"/>
                <w:lang w:eastAsia="en-US"/>
              </w:rPr>
              <w:t>A</w:t>
            </w:r>
            <w:r w:rsidR="00B947BA">
              <w:rPr>
                <w:rFonts w:asciiTheme="minorHAnsi" w:hAnsiTheme="minorHAnsi" w:cstheme="minorHAnsi"/>
                <w:sz w:val="24"/>
                <w:szCs w:val="24"/>
                <w:lang w:eastAsia="en-US"/>
              </w:rPr>
              <w:t xml:space="preserve"> for all its employees</w:t>
            </w:r>
            <w:r w:rsidRPr="00F007C5">
              <w:rPr>
                <w:rFonts w:asciiTheme="minorHAnsi" w:hAnsiTheme="minorHAnsi" w:cstheme="minorHAnsi"/>
                <w:sz w:val="24"/>
                <w:szCs w:val="24"/>
                <w:lang w:eastAsia="en-US"/>
              </w:rPr>
              <w:t>, including for new joiners</w:t>
            </w:r>
            <w:r w:rsidR="00B947BA">
              <w:rPr>
                <w:rFonts w:asciiTheme="minorHAnsi" w:hAnsiTheme="minorHAnsi" w:cstheme="minorHAnsi"/>
                <w:sz w:val="24"/>
                <w:szCs w:val="24"/>
                <w:lang w:eastAsia="en-US"/>
              </w:rPr>
              <w:t xml:space="preserve"> to BSR</w:t>
            </w:r>
            <w:r w:rsidRPr="00F007C5">
              <w:rPr>
                <w:rFonts w:asciiTheme="minorHAnsi" w:hAnsiTheme="minorHAnsi" w:cstheme="minorHAnsi"/>
                <w:sz w:val="24"/>
                <w:szCs w:val="24"/>
                <w:lang w:eastAsia="en-US"/>
              </w:rPr>
              <w:t>.</w:t>
            </w:r>
            <w:r w:rsidR="00B947BA">
              <w:rPr>
                <w:rFonts w:asciiTheme="minorHAnsi" w:hAnsiTheme="minorHAnsi" w:cstheme="minorHAnsi"/>
                <w:sz w:val="24"/>
                <w:szCs w:val="24"/>
                <w:lang w:eastAsia="en-US"/>
              </w:rPr>
              <w:t xml:space="preserve"> This is achieved through BSR making an application under </w:t>
            </w:r>
            <w:r w:rsidR="00B947BA" w:rsidRPr="00B947BA">
              <w:rPr>
                <w:rFonts w:asciiTheme="minorHAnsi" w:hAnsiTheme="minorHAnsi" w:cstheme="minorHAnsi"/>
                <w:sz w:val="24"/>
                <w:szCs w:val="24"/>
                <w:lang w:eastAsia="en-US"/>
              </w:rPr>
              <w:t>Section 25(5) of the Public Service Pensions Act 2013</w:t>
            </w:r>
            <w:r w:rsidR="00B947BA">
              <w:rPr>
                <w:rFonts w:asciiTheme="minorHAnsi" w:hAnsiTheme="minorHAnsi" w:cstheme="minorHAnsi"/>
                <w:sz w:val="24"/>
                <w:szCs w:val="24"/>
                <w:lang w:eastAsia="en-US"/>
              </w:rPr>
              <w:t xml:space="preserve"> (previously achieved by becoming a ‘Schedule 1 Body’). </w:t>
            </w:r>
          </w:p>
        </w:tc>
      </w:tr>
      <w:tr w:rsidR="00FB1469" w:rsidRPr="00146776" w14:paraId="74E10B2C" w14:textId="77777777" w:rsidTr="001E254C">
        <w:trPr>
          <w:trHeight w:val="1770"/>
        </w:trPr>
        <w:tc>
          <w:tcPr>
            <w:tcW w:w="2204" w:type="dxa"/>
          </w:tcPr>
          <w:p w14:paraId="27A94BCA" w14:textId="77777777" w:rsidR="00FB1469" w:rsidRPr="00146776" w:rsidRDefault="00FB1469" w:rsidP="001E254C">
            <w:pPr>
              <w:pStyle w:val="CSHRBodyText"/>
              <w:rPr>
                <w:rFonts w:asciiTheme="minorHAnsi" w:hAnsiTheme="minorHAnsi" w:cstheme="minorHAnsi"/>
                <w:b/>
                <w:sz w:val="24"/>
                <w:szCs w:val="24"/>
              </w:rPr>
            </w:pPr>
            <w:r w:rsidRPr="00146776">
              <w:rPr>
                <w:rFonts w:asciiTheme="minorHAnsi" w:hAnsiTheme="minorHAnsi" w:cstheme="minorHAnsi"/>
                <w:b/>
                <w:bCs/>
                <w:sz w:val="24"/>
                <w:szCs w:val="24"/>
              </w:rPr>
              <w:t>Civil Service Compensation Scheme (CSCS)</w:t>
            </w:r>
            <w:r w:rsidRPr="00146776">
              <w:rPr>
                <w:rFonts w:asciiTheme="minorHAnsi" w:hAnsiTheme="minorHAnsi" w:cstheme="minorHAnsi"/>
                <w:b/>
                <w:sz w:val="24"/>
                <w:szCs w:val="24"/>
              </w:rPr>
              <w:t xml:space="preserve"> </w:t>
            </w:r>
          </w:p>
        </w:tc>
        <w:tc>
          <w:tcPr>
            <w:tcW w:w="7719" w:type="dxa"/>
          </w:tcPr>
          <w:p w14:paraId="24CD5921" w14:textId="24F13E60" w:rsidR="00FB1469" w:rsidRPr="00146776" w:rsidRDefault="00FB1469" w:rsidP="00D1237C">
            <w:pPr>
              <w:rPr>
                <w:rFonts w:asciiTheme="minorHAnsi" w:eastAsia="Calibri" w:hAnsiTheme="minorHAnsi" w:cstheme="minorHAnsi"/>
                <w:sz w:val="24"/>
                <w:szCs w:val="24"/>
                <w:shd w:val="clear" w:color="auto" w:fill="FFFFFF"/>
                <w:lang w:eastAsia="en-US"/>
              </w:rPr>
            </w:pPr>
            <w:r w:rsidRPr="00146776">
              <w:rPr>
                <w:rFonts w:asciiTheme="minorHAnsi" w:hAnsiTheme="minorHAnsi" w:cstheme="minorHAnsi"/>
                <w:sz w:val="24"/>
                <w:szCs w:val="24"/>
                <w:lang w:eastAsia="en-US"/>
              </w:rPr>
              <w:t xml:space="preserve">Transferring employees will retain on transfer the contractual entitlement to have compensation payments calculated in accordance with the </w:t>
            </w:r>
            <w:r w:rsidR="00BC0B76">
              <w:rPr>
                <w:rFonts w:asciiTheme="minorHAnsi" w:hAnsiTheme="minorHAnsi" w:cstheme="minorHAnsi"/>
                <w:sz w:val="24"/>
                <w:szCs w:val="24"/>
                <w:lang w:eastAsia="en-US"/>
              </w:rPr>
              <w:t>C</w:t>
            </w:r>
            <w:r w:rsidRPr="00146776">
              <w:rPr>
                <w:rFonts w:asciiTheme="minorHAnsi" w:hAnsiTheme="minorHAnsi" w:cstheme="minorHAnsi"/>
                <w:sz w:val="24"/>
                <w:szCs w:val="24"/>
                <w:lang w:eastAsia="en-US"/>
              </w:rPr>
              <w:t xml:space="preserve">ivil </w:t>
            </w:r>
            <w:r w:rsidR="00BC0B76">
              <w:rPr>
                <w:rFonts w:asciiTheme="minorHAnsi" w:hAnsiTheme="minorHAnsi" w:cstheme="minorHAnsi"/>
                <w:sz w:val="24"/>
                <w:szCs w:val="24"/>
                <w:lang w:eastAsia="en-US"/>
              </w:rPr>
              <w:t>S</w:t>
            </w:r>
            <w:r w:rsidRPr="00146776">
              <w:rPr>
                <w:rFonts w:asciiTheme="minorHAnsi" w:hAnsiTheme="minorHAnsi" w:cstheme="minorHAnsi"/>
                <w:sz w:val="24"/>
                <w:szCs w:val="24"/>
                <w:lang w:eastAsia="en-US"/>
              </w:rPr>
              <w:t xml:space="preserve">ervice </w:t>
            </w:r>
            <w:r w:rsidR="00BC0B76">
              <w:rPr>
                <w:rFonts w:asciiTheme="minorHAnsi" w:hAnsiTheme="minorHAnsi" w:cstheme="minorHAnsi"/>
                <w:sz w:val="24"/>
                <w:szCs w:val="24"/>
                <w:lang w:eastAsia="en-US"/>
              </w:rPr>
              <w:t>C</w:t>
            </w:r>
            <w:r w:rsidRPr="00146776">
              <w:rPr>
                <w:rFonts w:asciiTheme="minorHAnsi" w:hAnsiTheme="minorHAnsi" w:cstheme="minorHAnsi"/>
                <w:sz w:val="24"/>
                <w:szCs w:val="24"/>
                <w:lang w:eastAsia="en-US"/>
              </w:rPr>
              <w:t xml:space="preserve">ompensation </w:t>
            </w:r>
            <w:r w:rsidR="00BC0B76">
              <w:rPr>
                <w:rFonts w:asciiTheme="minorHAnsi" w:hAnsiTheme="minorHAnsi" w:cstheme="minorHAnsi"/>
                <w:sz w:val="24"/>
                <w:szCs w:val="24"/>
                <w:lang w:eastAsia="en-US"/>
              </w:rPr>
              <w:t>S</w:t>
            </w:r>
            <w:r w:rsidRPr="00146776">
              <w:rPr>
                <w:rFonts w:asciiTheme="minorHAnsi" w:hAnsiTheme="minorHAnsi" w:cstheme="minorHAnsi"/>
                <w:sz w:val="24"/>
                <w:szCs w:val="24"/>
                <w:lang w:eastAsia="en-US"/>
              </w:rPr>
              <w:t>cheme (CSCS) rules in place at the time of redundancy</w:t>
            </w:r>
            <w:r w:rsidR="005726B3">
              <w:rPr>
                <w:rFonts w:asciiTheme="minorHAnsi" w:hAnsiTheme="minorHAnsi" w:cstheme="minorHAnsi"/>
                <w:sz w:val="24"/>
                <w:szCs w:val="24"/>
                <w:lang w:eastAsia="en-US"/>
              </w:rPr>
              <w:t xml:space="preserve"> or voluntary exit</w:t>
            </w:r>
            <w:r w:rsidRPr="00146776">
              <w:rPr>
                <w:rFonts w:asciiTheme="minorHAnsi" w:hAnsiTheme="minorHAnsi" w:cstheme="minorHAnsi"/>
                <w:sz w:val="24"/>
                <w:szCs w:val="24"/>
                <w:lang w:eastAsia="en-US"/>
              </w:rPr>
              <w:t>. There are no redundancies envisaged at this time.</w:t>
            </w:r>
            <w:r w:rsidRPr="00146776">
              <w:rPr>
                <w:rFonts w:asciiTheme="minorHAnsi" w:hAnsiTheme="minorHAnsi" w:cstheme="minorHAnsi"/>
                <w:sz w:val="24"/>
                <w:szCs w:val="24"/>
                <w:shd w:val="clear" w:color="auto" w:fill="FFFFFF"/>
              </w:rPr>
              <w:t xml:space="preserve"> </w:t>
            </w:r>
          </w:p>
        </w:tc>
      </w:tr>
      <w:tr w:rsidR="00146776" w:rsidRPr="00146776" w14:paraId="1CA625A9" w14:textId="77777777" w:rsidTr="00146776">
        <w:trPr>
          <w:trHeight w:val="766"/>
        </w:trPr>
        <w:tc>
          <w:tcPr>
            <w:tcW w:w="2204" w:type="dxa"/>
          </w:tcPr>
          <w:p w14:paraId="6155273D" w14:textId="1E5BDADB" w:rsidR="00146776" w:rsidRPr="00EF058E" w:rsidRDefault="00146776" w:rsidP="001E254C">
            <w:pPr>
              <w:pStyle w:val="CSHRBodyText"/>
              <w:rPr>
                <w:rFonts w:asciiTheme="minorHAnsi" w:hAnsiTheme="minorHAnsi" w:cstheme="minorHAnsi"/>
                <w:b/>
                <w:bCs/>
                <w:sz w:val="24"/>
                <w:szCs w:val="24"/>
              </w:rPr>
            </w:pPr>
            <w:r w:rsidRPr="00EF058E">
              <w:rPr>
                <w:rFonts w:asciiTheme="minorHAnsi" w:hAnsiTheme="minorHAnsi" w:cstheme="minorHAnsi"/>
                <w:b/>
                <w:bCs/>
                <w:sz w:val="24"/>
                <w:szCs w:val="24"/>
              </w:rPr>
              <w:t>Civil Service Redeployment Interview Scheme</w:t>
            </w:r>
          </w:p>
        </w:tc>
        <w:tc>
          <w:tcPr>
            <w:tcW w:w="7719" w:type="dxa"/>
          </w:tcPr>
          <w:p w14:paraId="1ACF4566" w14:textId="7BAAFB1D" w:rsidR="00146776" w:rsidRPr="00792349" w:rsidRDefault="00825E84" w:rsidP="00D1237C">
            <w:pPr>
              <w:rPr>
                <w:rFonts w:asciiTheme="minorHAnsi" w:hAnsiTheme="minorHAnsi" w:cstheme="minorHAnsi"/>
                <w:sz w:val="24"/>
                <w:szCs w:val="24"/>
                <w:lang w:eastAsia="en-US"/>
              </w:rPr>
            </w:pPr>
            <w:r w:rsidRPr="00792349">
              <w:rPr>
                <w:rFonts w:asciiTheme="minorHAnsi" w:hAnsiTheme="minorHAnsi" w:cstheme="minorHAnsi"/>
                <w:sz w:val="24"/>
                <w:szCs w:val="24"/>
                <w:lang w:eastAsia="en-US"/>
              </w:rPr>
              <w:t xml:space="preserve">Transferring </w:t>
            </w:r>
            <w:r w:rsidR="00146776" w:rsidRPr="00792349">
              <w:rPr>
                <w:rFonts w:asciiTheme="minorHAnsi" w:hAnsiTheme="minorHAnsi" w:cstheme="minorHAnsi"/>
                <w:sz w:val="24"/>
                <w:szCs w:val="24"/>
                <w:lang w:eastAsia="en-US"/>
              </w:rPr>
              <w:t>employees will no longer be eligible for the Civil Service Redeployment Interview Scheme</w:t>
            </w:r>
            <w:r w:rsidR="001A050C" w:rsidRPr="00792349">
              <w:rPr>
                <w:rFonts w:asciiTheme="minorHAnsi" w:hAnsiTheme="minorHAnsi" w:cstheme="minorHAnsi"/>
                <w:sz w:val="24"/>
                <w:szCs w:val="24"/>
                <w:lang w:eastAsia="en-US"/>
              </w:rPr>
              <w:t xml:space="preserve"> following the transfer to BSR</w:t>
            </w:r>
            <w:r w:rsidR="00146776" w:rsidRPr="00792349">
              <w:rPr>
                <w:rFonts w:asciiTheme="minorHAnsi" w:hAnsiTheme="minorHAnsi" w:cstheme="minorHAnsi"/>
                <w:sz w:val="24"/>
                <w:szCs w:val="24"/>
                <w:lang w:eastAsia="en-US"/>
              </w:rPr>
              <w:t>.</w:t>
            </w:r>
            <w:r w:rsidR="00A41298">
              <w:rPr>
                <w:rFonts w:asciiTheme="minorHAnsi" w:hAnsiTheme="minorHAnsi" w:cstheme="minorHAnsi"/>
                <w:sz w:val="24"/>
                <w:szCs w:val="24"/>
                <w:lang w:eastAsia="en-US"/>
              </w:rPr>
              <w:t xml:space="preserve"> This is an additional change </w:t>
            </w:r>
            <w:r w:rsidR="00BB009D">
              <w:rPr>
                <w:rFonts w:asciiTheme="minorHAnsi" w:hAnsiTheme="minorHAnsi" w:cstheme="minorHAnsi"/>
                <w:sz w:val="24"/>
                <w:szCs w:val="24"/>
                <w:lang w:eastAsia="en-US"/>
              </w:rPr>
              <w:t xml:space="preserve">identified </w:t>
            </w:r>
            <w:r w:rsidR="00A41298">
              <w:rPr>
                <w:rFonts w:asciiTheme="minorHAnsi" w:hAnsiTheme="minorHAnsi" w:cstheme="minorHAnsi"/>
                <w:sz w:val="24"/>
                <w:szCs w:val="24"/>
                <w:lang w:eastAsia="en-US"/>
              </w:rPr>
              <w:t>since the original proposed statement</w:t>
            </w:r>
            <w:r w:rsidR="00BB009D">
              <w:rPr>
                <w:rFonts w:asciiTheme="minorHAnsi" w:hAnsiTheme="minorHAnsi" w:cstheme="minorHAnsi"/>
                <w:sz w:val="24"/>
                <w:szCs w:val="24"/>
                <w:lang w:eastAsia="en-US"/>
              </w:rPr>
              <w:t xml:space="preserve"> of changes</w:t>
            </w:r>
            <w:r w:rsidR="00A41298">
              <w:rPr>
                <w:rFonts w:asciiTheme="minorHAnsi" w:hAnsiTheme="minorHAnsi" w:cstheme="minorHAnsi"/>
                <w:sz w:val="24"/>
                <w:szCs w:val="24"/>
                <w:lang w:eastAsia="en-US"/>
              </w:rPr>
              <w:t>.</w:t>
            </w:r>
          </w:p>
        </w:tc>
      </w:tr>
      <w:tr w:rsidR="00FB1469" w:rsidRPr="00146776" w14:paraId="45D0D516" w14:textId="77777777" w:rsidTr="001E254C">
        <w:trPr>
          <w:trHeight w:val="1770"/>
        </w:trPr>
        <w:tc>
          <w:tcPr>
            <w:tcW w:w="2204" w:type="dxa"/>
          </w:tcPr>
          <w:p w14:paraId="78767C0F" w14:textId="77777777" w:rsidR="00FB1469" w:rsidRPr="00146776" w:rsidRDefault="00FB1469" w:rsidP="001E254C">
            <w:pPr>
              <w:pStyle w:val="CSHRBodyText"/>
              <w:rPr>
                <w:rFonts w:asciiTheme="minorHAnsi" w:hAnsiTheme="minorHAnsi" w:cstheme="minorHAnsi"/>
                <w:b/>
                <w:sz w:val="24"/>
                <w:szCs w:val="24"/>
              </w:rPr>
            </w:pPr>
            <w:r w:rsidRPr="00146776">
              <w:rPr>
                <w:rFonts w:asciiTheme="minorHAnsi" w:hAnsiTheme="minorHAnsi" w:cstheme="minorHAnsi"/>
                <w:b/>
                <w:bCs/>
                <w:sz w:val="24"/>
                <w:szCs w:val="24"/>
              </w:rPr>
              <w:lastRenderedPageBreak/>
              <w:t>Continuous Service and Access to Vacancies within HSE.</w:t>
            </w:r>
            <w:r w:rsidRPr="00146776">
              <w:rPr>
                <w:rFonts w:asciiTheme="minorHAnsi" w:hAnsiTheme="minorHAnsi" w:cstheme="minorHAnsi"/>
                <w:b/>
                <w:sz w:val="24"/>
                <w:szCs w:val="24"/>
              </w:rPr>
              <w:t xml:space="preserve"> </w:t>
            </w:r>
          </w:p>
        </w:tc>
        <w:tc>
          <w:tcPr>
            <w:tcW w:w="7719" w:type="dxa"/>
          </w:tcPr>
          <w:p w14:paraId="5E85E858" w14:textId="6283165D" w:rsidR="0041045C" w:rsidRDefault="00FB1469" w:rsidP="00064E32">
            <w:pPr>
              <w:spacing w:before="100" w:beforeAutospacing="1" w:after="100" w:afterAutospacing="1" w:line="300" w:lineRule="atLeast"/>
              <w:rPr>
                <w:rFonts w:asciiTheme="minorHAnsi" w:hAnsiTheme="minorHAnsi" w:cstheme="minorHAnsi"/>
                <w:sz w:val="24"/>
                <w:szCs w:val="24"/>
                <w:lang w:eastAsia="en-US"/>
              </w:rPr>
            </w:pPr>
            <w:r w:rsidRPr="00146776">
              <w:rPr>
                <w:rFonts w:asciiTheme="minorHAnsi" w:hAnsiTheme="minorHAnsi" w:cstheme="minorHAnsi"/>
                <w:sz w:val="24"/>
                <w:szCs w:val="24"/>
                <w:lang w:eastAsia="en-US"/>
              </w:rPr>
              <w:t xml:space="preserve">For </w:t>
            </w:r>
            <w:r w:rsidR="0041045C">
              <w:rPr>
                <w:rFonts w:asciiTheme="minorHAnsi" w:hAnsiTheme="minorHAnsi" w:cstheme="minorHAnsi"/>
                <w:sz w:val="24"/>
                <w:szCs w:val="24"/>
                <w:lang w:eastAsia="en-US"/>
              </w:rPr>
              <w:t xml:space="preserve">a period of </w:t>
            </w:r>
            <w:r w:rsidRPr="00146776">
              <w:rPr>
                <w:rFonts w:asciiTheme="minorHAnsi" w:hAnsiTheme="minorHAnsi" w:cstheme="minorHAnsi"/>
                <w:sz w:val="24"/>
                <w:szCs w:val="24"/>
                <w:lang w:eastAsia="en-US"/>
              </w:rPr>
              <w:t>two years</w:t>
            </w:r>
            <w:r w:rsidR="006D37FE" w:rsidRPr="00146776">
              <w:rPr>
                <w:rFonts w:asciiTheme="minorHAnsi" w:hAnsiTheme="minorHAnsi" w:cstheme="minorHAnsi"/>
                <w:sz w:val="24"/>
                <w:szCs w:val="24"/>
                <w:lang w:eastAsia="en-US"/>
              </w:rPr>
              <w:t xml:space="preserve"> </w:t>
            </w:r>
            <w:r w:rsidR="0041045C">
              <w:rPr>
                <w:rFonts w:asciiTheme="minorHAnsi" w:hAnsiTheme="minorHAnsi" w:cstheme="minorHAnsi"/>
                <w:sz w:val="24"/>
                <w:szCs w:val="24"/>
                <w:lang w:eastAsia="en-US"/>
              </w:rPr>
              <w:t>from</w:t>
            </w:r>
            <w:r w:rsidR="006D37FE" w:rsidRPr="00146776">
              <w:rPr>
                <w:rFonts w:asciiTheme="minorHAnsi" w:hAnsiTheme="minorHAnsi" w:cstheme="minorHAnsi"/>
                <w:sz w:val="24"/>
                <w:szCs w:val="24"/>
                <w:lang w:eastAsia="en-US"/>
              </w:rPr>
              <w:t xml:space="preserve"> 1</w:t>
            </w:r>
            <w:r w:rsidR="006D37FE" w:rsidRPr="00146776">
              <w:rPr>
                <w:rFonts w:asciiTheme="minorHAnsi" w:hAnsiTheme="minorHAnsi" w:cstheme="minorHAnsi"/>
                <w:sz w:val="24"/>
                <w:szCs w:val="24"/>
                <w:vertAlign w:val="superscript"/>
                <w:lang w:eastAsia="en-US"/>
              </w:rPr>
              <w:t>st</w:t>
            </w:r>
            <w:r w:rsidR="006D37FE" w:rsidRPr="00146776">
              <w:rPr>
                <w:rFonts w:asciiTheme="minorHAnsi" w:hAnsiTheme="minorHAnsi" w:cstheme="minorHAnsi"/>
                <w:sz w:val="24"/>
                <w:szCs w:val="24"/>
                <w:lang w:eastAsia="en-US"/>
              </w:rPr>
              <w:t xml:space="preserve"> June 2026</w:t>
            </w:r>
            <w:r w:rsidRPr="00146776">
              <w:rPr>
                <w:rFonts w:asciiTheme="minorHAnsi" w:hAnsiTheme="minorHAnsi" w:cstheme="minorHAnsi"/>
                <w:sz w:val="24"/>
                <w:szCs w:val="24"/>
                <w:lang w:eastAsia="en-US"/>
              </w:rPr>
              <w:t>, transferring employees will have access to HSE</w:t>
            </w:r>
            <w:r w:rsidR="005649A4" w:rsidRPr="00146776">
              <w:rPr>
                <w:rFonts w:asciiTheme="minorHAnsi" w:hAnsiTheme="minorHAnsi" w:cstheme="minorHAnsi"/>
                <w:sz w:val="24"/>
                <w:szCs w:val="24"/>
                <w:lang w:eastAsia="en-US"/>
              </w:rPr>
              <w:t xml:space="preserve"> </w:t>
            </w:r>
            <w:r w:rsidR="00064E32" w:rsidRPr="00146776">
              <w:rPr>
                <w:rFonts w:asciiTheme="minorHAnsi" w:hAnsiTheme="minorHAnsi" w:cstheme="minorHAnsi"/>
                <w:sz w:val="24"/>
                <w:szCs w:val="24"/>
                <w:lang w:eastAsia="en-US"/>
              </w:rPr>
              <w:t>job vacancies</w:t>
            </w:r>
            <w:r w:rsidRPr="00146776">
              <w:rPr>
                <w:rFonts w:asciiTheme="minorHAnsi" w:hAnsiTheme="minorHAnsi" w:cstheme="minorHAnsi"/>
                <w:sz w:val="24"/>
                <w:szCs w:val="24"/>
                <w:lang w:eastAsia="en-US"/>
              </w:rPr>
              <w:t>,</w:t>
            </w:r>
            <w:r w:rsidR="00064E32" w:rsidRPr="00146776">
              <w:rPr>
                <w:rFonts w:asciiTheme="minorHAnsi" w:hAnsiTheme="minorHAnsi" w:cstheme="minorHAnsi"/>
                <w:sz w:val="24"/>
                <w:szCs w:val="24"/>
                <w:lang w:eastAsia="en-US"/>
              </w:rPr>
              <w:t xml:space="preserve"> </w:t>
            </w:r>
            <w:r w:rsidR="00AF3D5B">
              <w:rPr>
                <w:rFonts w:asciiTheme="minorHAnsi" w:hAnsiTheme="minorHAnsi" w:cstheme="minorHAnsi"/>
                <w:sz w:val="24"/>
                <w:szCs w:val="24"/>
                <w:lang w:eastAsia="en-US"/>
              </w:rPr>
              <w:t xml:space="preserve">including </w:t>
            </w:r>
            <w:r w:rsidR="00064E32" w:rsidRPr="00146776">
              <w:rPr>
                <w:rFonts w:asciiTheme="minorHAnsi" w:hAnsiTheme="minorHAnsi" w:cstheme="minorHAnsi"/>
                <w:sz w:val="24"/>
                <w:szCs w:val="24"/>
                <w:lang w:eastAsia="en-US"/>
              </w:rPr>
              <w:t>both those posted on C</w:t>
            </w:r>
            <w:r w:rsidR="006E3016">
              <w:rPr>
                <w:rFonts w:asciiTheme="minorHAnsi" w:hAnsiTheme="minorHAnsi" w:cstheme="minorHAnsi"/>
                <w:sz w:val="24"/>
                <w:szCs w:val="24"/>
                <w:lang w:eastAsia="en-US"/>
              </w:rPr>
              <w:t xml:space="preserve">ivil </w:t>
            </w:r>
            <w:r w:rsidR="00064E32" w:rsidRPr="00146776">
              <w:rPr>
                <w:rFonts w:asciiTheme="minorHAnsi" w:hAnsiTheme="minorHAnsi" w:cstheme="minorHAnsi"/>
                <w:sz w:val="24"/>
                <w:szCs w:val="24"/>
                <w:lang w:eastAsia="en-US"/>
              </w:rPr>
              <w:t>S</w:t>
            </w:r>
            <w:r w:rsidR="006E3016">
              <w:rPr>
                <w:rFonts w:asciiTheme="minorHAnsi" w:hAnsiTheme="minorHAnsi" w:cstheme="minorHAnsi"/>
                <w:sz w:val="24"/>
                <w:szCs w:val="24"/>
                <w:lang w:eastAsia="en-US"/>
              </w:rPr>
              <w:t>ervice</w:t>
            </w:r>
            <w:r w:rsidR="00064E32" w:rsidRPr="00146776">
              <w:rPr>
                <w:rFonts w:asciiTheme="minorHAnsi" w:hAnsiTheme="minorHAnsi" w:cstheme="minorHAnsi"/>
                <w:sz w:val="24"/>
                <w:szCs w:val="24"/>
                <w:lang w:eastAsia="en-US"/>
              </w:rPr>
              <w:t xml:space="preserve"> jobs</w:t>
            </w:r>
            <w:r w:rsidR="006E3016">
              <w:rPr>
                <w:rFonts w:asciiTheme="minorHAnsi" w:hAnsiTheme="minorHAnsi" w:cstheme="minorHAnsi"/>
                <w:sz w:val="24"/>
                <w:szCs w:val="24"/>
                <w:lang w:eastAsia="en-US"/>
              </w:rPr>
              <w:t xml:space="preserve"> (see below)</w:t>
            </w:r>
            <w:r w:rsidR="00064E32" w:rsidRPr="00146776">
              <w:rPr>
                <w:rFonts w:asciiTheme="minorHAnsi" w:hAnsiTheme="minorHAnsi" w:cstheme="minorHAnsi"/>
                <w:sz w:val="24"/>
                <w:szCs w:val="24"/>
                <w:lang w:eastAsia="en-US"/>
              </w:rPr>
              <w:t xml:space="preserve"> and internally.</w:t>
            </w:r>
            <w:r w:rsidRPr="00146776">
              <w:rPr>
                <w:rFonts w:asciiTheme="minorHAnsi" w:hAnsiTheme="minorHAnsi" w:cstheme="minorHAnsi"/>
                <w:sz w:val="24"/>
                <w:szCs w:val="24"/>
                <w:lang w:eastAsia="en-US"/>
              </w:rPr>
              <w:t xml:space="preserve"> </w:t>
            </w:r>
            <w:r w:rsidR="00064E32" w:rsidRPr="00146776">
              <w:rPr>
                <w:rFonts w:asciiTheme="minorHAnsi" w:hAnsiTheme="minorHAnsi" w:cstheme="minorHAnsi"/>
                <w:sz w:val="24"/>
                <w:szCs w:val="24"/>
                <w:lang w:eastAsia="en-US"/>
              </w:rPr>
              <w:t xml:space="preserve">Transferring employees </w:t>
            </w:r>
            <w:r w:rsidRPr="00146776">
              <w:rPr>
                <w:rFonts w:asciiTheme="minorHAnsi" w:hAnsiTheme="minorHAnsi" w:cstheme="minorHAnsi"/>
                <w:sz w:val="24"/>
                <w:szCs w:val="24"/>
                <w:lang w:eastAsia="en-US"/>
              </w:rPr>
              <w:t>will be able to apply for said vacancies</w:t>
            </w:r>
            <w:r w:rsidR="00FE310C" w:rsidRPr="00146776">
              <w:rPr>
                <w:rFonts w:asciiTheme="minorHAnsi" w:hAnsiTheme="minorHAnsi" w:cstheme="minorHAnsi"/>
                <w:sz w:val="24"/>
                <w:szCs w:val="24"/>
                <w:lang w:eastAsia="en-US"/>
              </w:rPr>
              <w:t xml:space="preserve"> in line with </w:t>
            </w:r>
            <w:r w:rsidR="0041045C">
              <w:rPr>
                <w:rFonts w:asciiTheme="minorHAnsi" w:hAnsiTheme="minorHAnsi" w:cstheme="minorHAnsi"/>
                <w:sz w:val="24"/>
                <w:szCs w:val="24"/>
                <w:lang w:eastAsia="en-US"/>
              </w:rPr>
              <w:t>business-as-usual</w:t>
            </w:r>
            <w:r w:rsidR="006E3016">
              <w:rPr>
                <w:rFonts w:asciiTheme="minorHAnsi" w:hAnsiTheme="minorHAnsi" w:cstheme="minorHAnsi"/>
                <w:sz w:val="24"/>
                <w:szCs w:val="24"/>
                <w:lang w:eastAsia="en-US"/>
              </w:rPr>
              <w:t xml:space="preserve"> recruitment processes</w:t>
            </w:r>
            <w:r w:rsidRPr="00146776">
              <w:rPr>
                <w:rFonts w:asciiTheme="minorHAnsi" w:hAnsiTheme="minorHAnsi" w:cstheme="minorHAnsi"/>
                <w:sz w:val="24"/>
                <w:szCs w:val="24"/>
                <w:lang w:eastAsia="en-US"/>
              </w:rPr>
              <w:t xml:space="preserve">. </w:t>
            </w:r>
          </w:p>
          <w:p w14:paraId="74824CFF" w14:textId="26890D9F" w:rsidR="00FB1469" w:rsidRPr="00146776" w:rsidRDefault="006E3016" w:rsidP="00064E32">
            <w:pPr>
              <w:spacing w:before="100" w:beforeAutospacing="1" w:after="100" w:afterAutospacing="1" w:line="300" w:lineRule="atLeast"/>
              <w:rPr>
                <w:rFonts w:asciiTheme="minorHAnsi" w:hAnsiTheme="minorHAnsi" w:cstheme="minorHAnsi"/>
                <w:sz w:val="24"/>
                <w:szCs w:val="24"/>
                <w:shd w:val="clear" w:color="auto" w:fill="FFFFFF"/>
              </w:rPr>
            </w:pPr>
            <w:r>
              <w:rPr>
                <w:rFonts w:asciiTheme="minorHAnsi" w:hAnsiTheme="minorHAnsi" w:cstheme="minorHAnsi"/>
                <w:sz w:val="24"/>
                <w:szCs w:val="24"/>
                <w:lang w:eastAsia="en-US"/>
              </w:rPr>
              <w:t xml:space="preserve">Where a transferring employee is successful in securing a role with HSE during this period, their </w:t>
            </w:r>
            <w:r w:rsidR="00685EB8">
              <w:rPr>
                <w:rFonts w:asciiTheme="minorHAnsi" w:hAnsiTheme="minorHAnsi" w:cstheme="minorHAnsi"/>
                <w:sz w:val="24"/>
                <w:szCs w:val="24"/>
                <w:lang w:eastAsia="en-US"/>
              </w:rPr>
              <w:t>continuous</w:t>
            </w:r>
            <w:r w:rsidR="00F36E41" w:rsidRPr="00146776">
              <w:rPr>
                <w:rFonts w:asciiTheme="minorHAnsi" w:hAnsiTheme="minorHAnsi" w:cstheme="minorHAnsi"/>
                <w:sz w:val="24"/>
                <w:szCs w:val="24"/>
                <w:lang w:eastAsia="en-US"/>
              </w:rPr>
              <w:t xml:space="preserve"> </w:t>
            </w:r>
            <w:r w:rsidR="00FB1469" w:rsidRPr="00146776">
              <w:rPr>
                <w:rFonts w:asciiTheme="minorHAnsi" w:hAnsiTheme="minorHAnsi" w:cstheme="minorHAnsi"/>
                <w:sz w:val="24"/>
                <w:szCs w:val="24"/>
                <w:lang w:eastAsia="en-US"/>
              </w:rPr>
              <w:t>service within BSR</w:t>
            </w:r>
            <w:r>
              <w:rPr>
                <w:rFonts w:asciiTheme="minorHAnsi" w:hAnsiTheme="minorHAnsi" w:cstheme="minorHAnsi"/>
                <w:sz w:val="24"/>
                <w:szCs w:val="24"/>
                <w:lang w:eastAsia="en-US"/>
              </w:rPr>
              <w:t xml:space="preserve"> will be recognised by HSE</w:t>
            </w:r>
            <w:r w:rsidR="00FB1469" w:rsidRPr="00146776">
              <w:rPr>
                <w:rFonts w:asciiTheme="minorHAnsi" w:hAnsiTheme="minorHAnsi" w:cstheme="minorHAnsi"/>
                <w:sz w:val="24"/>
                <w:szCs w:val="24"/>
                <w:lang w:eastAsia="en-US"/>
              </w:rPr>
              <w:t xml:space="preserve"> for </w:t>
            </w:r>
            <w:r>
              <w:rPr>
                <w:rFonts w:asciiTheme="minorHAnsi" w:hAnsiTheme="minorHAnsi" w:cstheme="minorHAnsi"/>
                <w:sz w:val="24"/>
                <w:szCs w:val="24"/>
                <w:lang w:eastAsia="en-US"/>
              </w:rPr>
              <w:t xml:space="preserve">all contractual purposes, including </w:t>
            </w:r>
            <w:r w:rsidR="0041045C">
              <w:rPr>
                <w:rFonts w:asciiTheme="minorHAnsi" w:hAnsiTheme="minorHAnsi" w:cstheme="minorHAnsi"/>
                <w:sz w:val="24"/>
                <w:szCs w:val="24"/>
                <w:lang w:eastAsia="en-US"/>
              </w:rPr>
              <w:t xml:space="preserve">for </w:t>
            </w:r>
            <w:r w:rsidR="00C73B95">
              <w:rPr>
                <w:rFonts w:asciiTheme="minorHAnsi" w:hAnsiTheme="minorHAnsi" w:cstheme="minorHAnsi"/>
                <w:sz w:val="24"/>
                <w:szCs w:val="24"/>
                <w:lang w:eastAsia="en-US"/>
              </w:rPr>
              <w:t xml:space="preserve">the purposes of calculating </w:t>
            </w:r>
            <w:r w:rsidR="00FB1469" w:rsidRPr="00146776">
              <w:rPr>
                <w:rFonts w:asciiTheme="minorHAnsi" w:hAnsiTheme="minorHAnsi" w:cstheme="minorHAnsi"/>
                <w:sz w:val="24"/>
                <w:szCs w:val="24"/>
                <w:lang w:eastAsia="en-US"/>
              </w:rPr>
              <w:t>annual leave and sick leave</w:t>
            </w:r>
            <w:r w:rsidR="0041045C">
              <w:rPr>
                <w:rFonts w:asciiTheme="minorHAnsi" w:hAnsiTheme="minorHAnsi" w:cstheme="minorHAnsi"/>
                <w:sz w:val="24"/>
                <w:szCs w:val="24"/>
                <w:lang w:eastAsia="en-US"/>
              </w:rPr>
              <w:t xml:space="preserve"> entitlements</w:t>
            </w:r>
            <w:r w:rsidR="00FB1469" w:rsidRPr="00146776">
              <w:rPr>
                <w:rFonts w:asciiTheme="minorHAnsi" w:hAnsiTheme="minorHAnsi" w:cstheme="minorHAnsi"/>
                <w:sz w:val="24"/>
                <w:szCs w:val="24"/>
                <w:lang w:eastAsia="en-US"/>
              </w:rPr>
              <w:t>.</w:t>
            </w:r>
            <w:r w:rsidR="00FB1469" w:rsidRPr="00146776">
              <w:rPr>
                <w:rFonts w:asciiTheme="minorHAnsi" w:hAnsiTheme="minorHAnsi" w:cstheme="minorHAnsi"/>
                <w:sz w:val="24"/>
                <w:szCs w:val="24"/>
                <w:shd w:val="clear" w:color="auto" w:fill="FFFFFF"/>
              </w:rPr>
              <w:t xml:space="preserve">  </w:t>
            </w:r>
          </w:p>
        </w:tc>
      </w:tr>
      <w:tr w:rsidR="00286421" w:rsidRPr="00146776" w14:paraId="0DA411B1" w14:textId="77777777" w:rsidTr="001E254C">
        <w:trPr>
          <w:trHeight w:val="1770"/>
        </w:trPr>
        <w:tc>
          <w:tcPr>
            <w:tcW w:w="2204" w:type="dxa"/>
          </w:tcPr>
          <w:p w14:paraId="75DE1944" w14:textId="089E7206" w:rsidR="00286421" w:rsidRPr="00964152" w:rsidRDefault="00286421" w:rsidP="001E254C">
            <w:pPr>
              <w:pStyle w:val="CSHRBodyText"/>
              <w:rPr>
                <w:rFonts w:asciiTheme="minorHAnsi" w:hAnsiTheme="minorHAnsi" w:cstheme="minorHAnsi"/>
                <w:b/>
                <w:bCs/>
                <w:sz w:val="24"/>
                <w:szCs w:val="24"/>
              </w:rPr>
            </w:pPr>
            <w:r w:rsidRPr="00682358">
              <w:rPr>
                <w:rFonts w:asciiTheme="minorHAnsi" w:hAnsiTheme="minorHAnsi" w:cstheme="minorHAnsi"/>
                <w:b/>
                <w:bCs/>
                <w:sz w:val="24"/>
                <w:szCs w:val="24"/>
              </w:rPr>
              <w:t>Civil Service Jobs</w:t>
            </w:r>
            <w:r w:rsidRPr="001712BD">
              <w:rPr>
                <w:rFonts w:asciiTheme="minorHAnsi" w:hAnsiTheme="minorHAnsi" w:cstheme="minorHAnsi"/>
                <w:b/>
                <w:bCs/>
                <w:szCs w:val="24"/>
              </w:rPr>
              <w:t xml:space="preserve"> </w:t>
            </w:r>
          </w:p>
        </w:tc>
        <w:tc>
          <w:tcPr>
            <w:tcW w:w="7719" w:type="dxa"/>
          </w:tcPr>
          <w:p w14:paraId="647C3FAF" w14:textId="66AB6966" w:rsidR="00286421" w:rsidRPr="00964152" w:rsidRDefault="00286421" w:rsidP="00064E32">
            <w:pPr>
              <w:spacing w:before="100" w:beforeAutospacing="1" w:after="100" w:afterAutospacing="1" w:line="300" w:lineRule="atLeast"/>
              <w:rPr>
                <w:rFonts w:asciiTheme="minorHAnsi" w:hAnsiTheme="minorHAnsi" w:cstheme="minorHAnsi"/>
                <w:sz w:val="24"/>
                <w:szCs w:val="24"/>
                <w:lang w:eastAsia="en-US"/>
              </w:rPr>
            </w:pPr>
            <w:r w:rsidRPr="00682358">
              <w:rPr>
                <w:rFonts w:asciiTheme="minorHAnsi" w:hAnsiTheme="minorHAnsi" w:cstheme="minorHAnsi"/>
                <w:sz w:val="24"/>
                <w:szCs w:val="24"/>
                <w:lang w:eastAsia="en-US"/>
              </w:rPr>
              <w:t xml:space="preserve">BSR </w:t>
            </w:r>
            <w:r w:rsidR="008B028C">
              <w:rPr>
                <w:rFonts w:asciiTheme="minorHAnsi" w:hAnsiTheme="minorHAnsi" w:cstheme="minorHAnsi"/>
                <w:sz w:val="24"/>
                <w:szCs w:val="24"/>
                <w:lang w:eastAsia="en-US"/>
              </w:rPr>
              <w:t>has been</w:t>
            </w:r>
            <w:r w:rsidRPr="00682358">
              <w:rPr>
                <w:rFonts w:asciiTheme="minorHAnsi" w:hAnsiTheme="minorHAnsi" w:cstheme="minorHAnsi"/>
                <w:sz w:val="24"/>
                <w:szCs w:val="24"/>
                <w:lang w:eastAsia="en-US"/>
              </w:rPr>
              <w:t xml:space="preserve"> accredited by the Civil Service Commission. This accreditation means that BSR will have access to Civil Service jobs, so that its staff are able to apply for roles that have been advertised as internal vacancies, i.e. Civil Service-wide.</w:t>
            </w:r>
          </w:p>
        </w:tc>
      </w:tr>
      <w:tr w:rsidR="00FB1469" w:rsidRPr="00146776" w14:paraId="268CD5E4" w14:textId="77777777" w:rsidTr="001E254C">
        <w:trPr>
          <w:trHeight w:val="1770"/>
        </w:trPr>
        <w:tc>
          <w:tcPr>
            <w:tcW w:w="2204" w:type="dxa"/>
          </w:tcPr>
          <w:p w14:paraId="778B8FF8" w14:textId="77777777" w:rsidR="00FB1469" w:rsidRPr="00146776" w:rsidRDefault="00FB1469" w:rsidP="001E254C">
            <w:pPr>
              <w:pStyle w:val="CSHRBodyText"/>
              <w:rPr>
                <w:rFonts w:asciiTheme="minorHAnsi" w:hAnsiTheme="minorHAnsi" w:cstheme="minorHAnsi"/>
                <w:b/>
                <w:sz w:val="24"/>
                <w:szCs w:val="24"/>
              </w:rPr>
            </w:pPr>
            <w:r w:rsidRPr="00146776">
              <w:rPr>
                <w:rFonts w:asciiTheme="minorHAnsi" w:hAnsiTheme="minorHAnsi" w:cstheme="minorHAnsi"/>
                <w:b/>
                <w:bCs/>
                <w:sz w:val="24"/>
                <w:szCs w:val="24"/>
              </w:rPr>
              <w:t>Civil Service Policies</w:t>
            </w:r>
            <w:r w:rsidRPr="00146776">
              <w:rPr>
                <w:rFonts w:asciiTheme="minorHAnsi" w:hAnsiTheme="minorHAnsi" w:cstheme="minorHAnsi"/>
                <w:b/>
                <w:sz w:val="24"/>
                <w:szCs w:val="24"/>
              </w:rPr>
              <w:t xml:space="preserve"> </w:t>
            </w:r>
          </w:p>
        </w:tc>
        <w:tc>
          <w:tcPr>
            <w:tcW w:w="7719" w:type="dxa"/>
          </w:tcPr>
          <w:p w14:paraId="401F1B46" w14:textId="09BF8821" w:rsidR="00FB1469" w:rsidRPr="00146776" w:rsidRDefault="00FB1469" w:rsidP="00806305">
            <w:p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As transferring employees will no longer be civil servants</w:t>
            </w:r>
            <w:r w:rsidR="00E94991">
              <w:rPr>
                <w:rFonts w:asciiTheme="minorHAnsi" w:hAnsiTheme="minorHAnsi" w:cstheme="minorHAnsi"/>
                <w:sz w:val="24"/>
                <w:szCs w:val="24"/>
                <w:lang w:eastAsia="en-US"/>
              </w:rPr>
              <w:t xml:space="preserve"> on transfer</w:t>
            </w:r>
            <w:r w:rsidRPr="00146776">
              <w:rPr>
                <w:rFonts w:asciiTheme="minorHAnsi" w:hAnsiTheme="minorHAnsi" w:cstheme="minorHAnsi"/>
                <w:sz w:val="24"/>
                <w:szCs w:val="24"/>
                <w:lang w:eastAsia="en-US"/>
              </w:rPr>
              <w:t xml:space="preserve">, the following civil service codes and policies will no longer apply: </w:t>
            </w:r>
          </w:p>
          <w:p w14:paraId="046621C7" w14:textId="77777777" w:rsidR="00FB1469" w:rsidRPr="00146776" w:rsidRDefault="00FB1469" w:rsidP="00806305">
            <w:pPr>
              <w:pStyle w:val="ListParagraph"/>
              <w:numPr>
                <w:ilvl w:val="0"/>
                <w:numId w:val="12"/>
              </w:num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 xml:space="preserve">Cabinet Office Redundancy Protocol </w:t>
            </w:r>
          </w:p>
          <w:p w14:paraId="5D2A7E7F" w14:textId="77777777" w:rsidR="00FB1469" w:rsidRPr="00146776" w:rsidRDefault="00FB1469" w:rsidP="00806305">
            <w:pPr>
              <w:pStyle w:val="ListParagraph"/>
              <w:numPr>
                <w:ilvl w:val="0"/>
                <w:numId w:val="12"/>
              </w:num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 xml:space="preserve">Civil Service Code </w:t>
            </w:r>
          </w:p>
          <w:p w14:paraId="4243B89C" w14:textId="77777777" w:rsidR="00FB1469" w:rsidRPr="00146776" w:rsidRDefault="00FB1469" w:rsidP="00806305">
            <w:pPr>
              <w:pStyle w:val="ListParagraph"/>
              <w:numPr>
                <w:ilvl w:val="0"/>
                <w:numId w:val="12"/>
              </w:num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 xml:space="preserve">Civil Service Management Code </w:t>
            </w:r>
          </w:p>
          <w:p w14:paraId="3B0E16C8" w14:textId="57223D79" w:rsidR="00FB1469" w:rsidRPr="00146776" w:rsidRDefault="00FB1469" w:rsidP="001E254C">
            <w:pPr>
              <w:pStyle w:val="CSHRBodyText"/>
              <w:rPr>
                <w:rFonts w:asciiTheme="minorHAnsi" w:hAnsiTheme="minorHAnsi" w:cstheme="minorHAnsi"/>
                <w:sz w:val="24"/>
                <w:szCs w:val="24"/>
                <w:shd w:val="clear" w:color="auto" w:fill="FFFFFF"/>
              </w:rPr>
            </w:pPr>
            <w:r w:rsidRPr="00146776">
              <w:rPr>
                <w:rFonts w:asciiTheme="minorHAnsi" w:hAnsiTheme="minorHAnsi" w:cstheme="minorHAnsi"/>
                <w:sz w:val="24"/>
                <w:szCs w:val="24"/>
              </w:rPr>
              <w:t>BSR</w:t>
            </w:r>
            <w:r w:rsidR="0088484E">
              <w:rPr>
                <w:rFonts w:asciiTheme="minorHAnsi" w:hAnsiTheme="minorHAnsi" w:cstheme="minorHAnsi"/>
                <w:sz w:val="24"/>
                <w:szCs w:val="24"/>
              </w:rPr>
              <w:t xml:space="preserve">’s replacement policies were shared </w:t>
            </w:r>
            <w:r w:rsidR="00BB009D">
              <w:rPr>
                <w:rFonts w:asciiTheme="minorHAnsi" w:hAnsiTheme="minorHAnsi" w:cstheme="minorHAnsi"/>
                <w:sz w:val="24"/>
                <w:szCs w:val="24"/>
              </w:rPr>
              <w:t xml:space="preserve">and agreed </w:t>
            </w:r>
            <w:r w:rsidR="0088484E">
              <w:rPr>
                <w:rFonts w:asciiTheme="minorHAnsi" w:hAnsiTheme="minorHAnsi" w:cstheme="minorHAnsi"/>
                <w:sz w:val="24"/>
                <w:szCs w:val="24"/>
              </w:rPr>
              <w:t>during consultation</w:t>
            </w:r>
            <w:r w:rsidR="00BB009D">
              <w:rPr>
                <w:rFonts w:asciiTheme="minorHAnsi" w:hAnsiTheme="minorHAnsi" w:cstheme="minorHAnsi"/>
                <w:sz w:val="24"/>
                <w:szCs w:val="24"/>
              </w:rPr>
              <w:t>.</w:t>
            </w:r>
            <w:r w:rsidRPr="00146776">
              <w:rPr>
                <w:rFonts w:asciiTheme="minorHAnsi" w:hAnsiTheme="minorHAnsi" w:cstheme="minorHAnsi"/>
                <w:sz w:val="24"/>
                <w:szCs w:val="24"/>
              </w:rPr>
              <w:t xml:space="preserve">  </w:t>
            </w:r>
          </w:p>
        </w:tc>
      </w:tr>
      <w:tr w:rsidR="00C86D8B" w:rsidRPr="00146776" w14:paraId="7EB4B58B" w14:textId="77777777" w:rsidTr="00146776">
        <w:trPr>
          <w:trHeight w:val="791"/>
        </w:trPr>
        <w:tc>
          <w:tcPr>
            <w:tcW w:w="2204" w:type="dxa"/>
          </w:tcPr>
          <w:p w14:paraId="704A9C43" w14:textId="533B8E36" w:rsidR="00C86D8B" w:rsidRPr="00146776" w:rsidRDefault="00C86D8B" w:rsidP="001E254C">
            <w:pPr>
              <w:pStyle w:val="CSHRBodyText"/>
              <w:rPr>
                <w:rFonts w:asciiTheme="minorHAnsi" w:hAnsiTheme="minorHAnsi" w:cstheme="minorHAnsi"/>
                <w:b/>
                <w:bCs/>
                <w:sz w:val="24"/>
                <w:szCs w:val="24"/>
              </w:rPr>
            </w:pPr>
            <w:r w:rsidRPr="00146776">
              <w:rPr>
                <w:rFonts w:asciiTheme="minorHAnsi" w:hAnsiTheme="minorHAnsi" w:cstheme="minorHAnsi"/>
                <w:b/>
                <w:bCs/>
                <w:sz w:val="24"/>
                <w:szCs w:val="24"/>
              </w:rPr>
              <w:t>Grades</w:t>
            </w:r>
            <w:r w:rsidR="00507512" w:rsidRPr="00146776">
              <w:rPr>
                <w:rFonts w:asciiTheme="minorHAnsi" w:hAnsiTheme="minorHAnsi" w:cstheme="minorHAnsi"/>
                <w:b/>
                <w:bCs/>
                <w:sz w:val="24"/>
                <w:szCs w:val="24"/>
              </w:rPr>
              <w:t>/Bands</w:t>
            </w:r>
          </w:p>
        </w:tc>
        <w:tc>
          <w:tcPr>
            <w:tcW w:w="7719" w:type="dxa"/>
          </w:tcPr>
          <w:p w14:paraId="05713FF3" w14:textId="583052B6" w:rsidR="00BB009D" w:rsidRDefault="00265B35" w:rsidP="00064E32">
            <w:p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 xml:space="preserve">BSR will </w:t>
            </w:r>
            <w:r w:rsidR="00064E32" w:rsidRPr="00146776">
              <w:rPr>
                <w:rFonts w:asciiTheme="minorHAnsi" w:hAnsiTheme="minorHAnsi" w:cstheme="minorHAnsi"/>
                <w:sz w:val="24"/>
                <w:szCs w:val="24"/>
                <w:lang w:eastAsia="en-US"/>
              </w:rPr>
              <w:t xml:space="preserve">adopt </w:t>
            </w:r>
            <w:r w:rsidR="009C05C1">
              <w:rPr>
                <w:rFonts w:asciiTheme="minorHAnsi" w:hAnsiTheme="minorHAnsi" w:cstheme="minorHAnsi"/>
                <w:sz w:val="24"/>
                <w:szCs w:val="24"/>
                <w:lang w:eastAsia="en-US"/>
              </w:rPr>
              <w:t>the Civil Service</w:t>
            </w:r>
            <w:r w:rsidR="00BB009D">
              <w:rPr>
                <w:rFonts w:asciiTheme="minorHAnsi" w:hAnsiTheme="minorHAnsi" w:cstheme="minorHAnsi"/>
                <w:sz w:val="24"/>
                <w:szCs w:val="24"/>
                <w:lang w:eastAsia="en-US"/>
              </w:rPr>
              <w:t xml:space="preserve"> </w:t>
            </w:r>
            <w:r w:rsidR="009F53D0">
              <w:rPr>
                <w:rFonts w:asciiTheme="minorHAnsi" w:hAnsiTheme="minorHAnsi" w:cstheme="minorHAnsi"/>
                <w:sz w:val="24"/>
                <w:szCs w:val="24"/>
                <w:lang w:eastAsia="en-US"/>
              </w:rPr>
              <w:t xml:space="preserve">grading </w:t>
            </w:r>
            <w:r w:rsidR="0041045C">
              <w:rPr>
                <w:rFonts w:asciiTheme="minorHAnsi" w:hAnsiTheme="minorHAnsi" w:cstheme="minorHAnsi"/>
                <w:sz w:val="24"/>
                <w:szCs w:val="24"/>
                <w:lang w:eastAsia="en-US"/>
              </w:rPr>
              <w:t>terminology</w:t>
            </w:r>
            <w:r w:rsidR="00BB009D">
              <w:rPr>
                <w:rFonts w:asciiTheme="minorHAnsi" w:hAnsiTheme="minorHAnsi" w:cstheme="minorHAnsi"/>
                <w:sz w:val="24"/>
                <w:szCs w:val="24"/>
                <w:lang w:eastAsia="en-US"/>
              </w:rPr>
              <w:t xml:space="preserve">. The </w:t>
            </w:r>
            <w:r w:rsidR="0041045C">
              <w:rPr>
                <w:rFonts w:asciiTheme="minorHAnsi" w:hAnsiTheme="minorHAnsi" w:cstheme="minorHAnsi"/>
                <w:sz w:val="24"/>
                <w:szCs w:val="24"/>
                <w:lang w:eastAsia="en-US"/>
              </w:rPr>
              <w:t xml:space="preserve">current HSE grades and the </w:t>
            </w:r>
            <w:r w:rsidR="00BB009D">
              <w:rPr>
                <w:rFonts w:asciiTheme="minorHAnsi" w:hAnsiTheme="minorHAnsi" w:cstheme="minorHAnsi"/>
                <w:sz w:val="24"/>
                <w:szCs w:val="24"/>
                <w:lang w:eastAsia="en-US"/>
              </w:rPr>
              <w:t>new BSR grades are set out below</w:t>
            </w:r>
            <w:r w:rsidR="00064E32" w:rsidRPr="00146776">
              <w:rPr>
                <w:rFonts w:asciiTheme="minorHAnsi" w:hAnsiTheme="minorHAnsi" w:cstheme="minorHAnsi"/>
                <w:sz w:val="24"/>
                <w:szCs w:val="24"/>
                <w:lang w:eastAsia="en-US"/>
              </w:rPr>
              <w:t xml:space="preserve">: </w:t>
            </w:r>
          </w:p>
          <w:p w14:paraId="690864E2" w14:textId="77777777" w:rsidR="00BB009D" w:rsidRPr="00992D5B" w:rsidRDefault="00064E32" w:rsidP="00BB009D">
            <w:pPr>
              <w:pStyle w:val="ListParagraph"/>
              <w:numPr>
                <w:ilvl w:val="0"/>
                <w:numId w:val="13"/>
              </w:numPr>
              <w:rPr>
                <w:rFonts w:asciiTheme="minorHAnsi" w:hAnsiTheme="minorHAnsi" w:cstheme="minorHAnsi"/>
                <w:sz w:val="22"/>
                <w:szCs w:val="22"/>
                <w:lang w:eastAsia="en-US"/>
              </w:rPr>
            </w:pPr>
            <w:r w:rsidRPr="00691902">
              <w:rPr>
                <w:rFonts w:asciiTheme="minorHAnsi" w:hAnsiTheme="minorHAnsi" w:cstheme="minorHAnsi"/>
                <w:sz w:val="22"/>
                <w:szCs w:val="22"/>
                <w:lang w:eastAsia="en-US"/>
              </w:rPr>
              <w:t xml:space="preserve">B1 – G6, </w:t>
            </w:r>
          </w:p>
          <w:p w14:paraId="1361AC2A" w14:textId="77777777" w:rsidR="00BB009D" w:rsidRPr="00992D5B" w:rsidRDefault="00064E32" w:rsidP="00BB009D">
            <w:pPr>
              <w:pStyle w:val="ListParagraph"/>
              <w:numPr>
                <w:ilvl w:val="0"/>
                <w:numId w:val="13"/>
              </w:numPr>
              <w:rPr>
                <w:rFonts w:asciiTheme="minorHAnsi" w:hAnsiTheme="minorHAnsi" w:cstheme="minorHAnsi"/>
                <w:sz w:val="22"/>
                <w:szCs w:val="22"/>
                <w:lang w:eastAsia="en-US"/>
              </w:rPr>
            </w:pPr>
            <w:r w:rsidRPr="00691902">
              <w:rPr>
                <w:rFonts w:asciiTheme="minorHAnsi" w:hAnsiTheme="minorHAnsi" w:cstheme="minorHAnsi"/>
                <w:sz w:val="22"/>
                <w:szCs w:val="22"/>
                <w:lang w:eastAsia="en-US"/>
              </w:rPr>
              <w:t xml:space="preserve">B2 – G7, </w:t>
            </w:r>
          </w:p>
          <w:p w14:paraId="10DA7FEF" w14:textId="77777777" w:rsidR="00BB009D" w:rsidRPr="00992D5B" w:rsidRDefault="00064E32" w:rsidP="00BB009D">
            <w:pPr>
              <w:pStyle w:val="ListParagraph"/>
              <w:numPr>
                <w:ilvl w:val="0"/>
                <w:numId w:val="13"/>
              </w:numPr>
              <w:rPr>
                <w:rFonts w:asciiTheme="minorHAnsi" w:hAnsiTheme="minorHAnsi" w:cstheme="minorHAnsi"/>
                <w:sz w:val="22"/>
                <w:szCs w:val="22"/>
                <w:lang w:eastAsia="en-US"/>
              </w:rPr>
            </w:pPr>
            <w:r w:rsidRPr="00691902">
              <w:rPr>
                <w:rFonts w:asciiTheme="minorHAnsi" w:hAnsiTheme="minorHAnsi" w:cstheme="minorHAnsi"/>
                <w:sz w:val="22"/>
                <w:szCs w:val="22"/>
                <w:lang w:eastAsia="en-US"/>
              </w:rPr>
              <w:t xml:space="preserve">B3 – SEO, </w:t>
            </w:r>
          </w:p>
          <w:p w14:paraId="5A617FD9" w14:textId="77777777" w:rsidR="00BB009D" w:rsidRPr="00992D5B" w:rsidRDefault="00064E32" w:rsidP="00BB009D">
            <w:pPr>
              <w:pStyle w:val="ListParagraph"/>
              <w:numPr>
                <w:ilvl w:val="0"/>
                <w:numId w:val="13"/>
              </w:numPr>
              <w:rPr>
                <w:rFonts w:asciiTheme="minorHAnsi" w:hAnsiTheme="minorHAnsi" w:cstheme="minorHAnsi"/>
                <w:sz w:val="22"/>
                <w:szCs w:val="22"/>
                <w:lang w:eastAsia="en-US"/>
              </w:rPr>
            </w:pPr>
            <w:r w:rsidRPr="00691902">
              <w:rPr>
                <w:rFonts w:asciiTheme="minorHAnsi" w:hAnsiTheme="minorHAnsi" w:cstheme="minorHAnsi"/>
                <w:sz w:val="22"/>
                <w:szCs w:val="22"/>
                <w:lang w:eastAsia="en-US"/>
              </w:rPr>
              <w:t xml:space="preserve">B4 – HEO, </w:t>
            </w:r>
          </w:p>
          <w:p w14:paraId="25AC1849" w14:textId="77777777" w:rsidR="0041045C" w:rsidRDefault="00064E32" w:rsidP="00BB009D">
            <w:pPr>
              <w:pStyle w:val="ListParagraph"/>
              <w:numPr>
                <w:ilvl w:val="0"/>
                <w:numId w:val="13"/>
              </w:numPr>
              <w:rPr>
                <w:rFonts w:asciiTheme="minorHAnsi" w:hAnsiTheme="minorHAnsi" w:cstheme="minorHAnsi"/>
                <w:sz w:val="22"/>
                <w:szCs w:val="22"/>
                <w:lang w:eastAsia="en-US"/>
              </w:rPr>
            </w:pPr>
            <w:r w:rsidRPr="00691902">
              <w:rPr>
                <w:rFonts w:asciiTheme="minorHAnsi" w:hAnsiTheme="minorHAnsi" w:cstheme="minorHAnsi"/>
                <w:sz w:val="22"/>
                <w:szCs w:val="22"/>
                <w:lang w:eastAsia="en-US"/>
              </w:rPr>
              <w:t xml:space="preserve">B5 </w:t>
            </w:r>
            <w:r w:rsidR="0063097F" w:rsidRPr="00691902">
              <w:rPr>
                <w:rFonts w:asciiTheme="minorHAnsi" w:hAnsiTheme="minorHAnsi" w:cstheme="minorHAnsi"/>
                <w:sz w:val="22"/>
                <w:szCs w:val="22"/>
                <w:lang w:eastAsia="en-US"/>
              </w:rPr>
              <w:t>–</w:t>
            </w:r>
            <w:r w:rsidRPr="00691902">
              <w:rPr>
                <w:rFonts w:asciiTheme="minorHAnsi" w:hAnsiTheme="minorHAnsi" w:cstheme="minorHAnsi"/>
                <w:sz w:val="22"/>
                <w:szCs w:val="22"/>
                <w:lang w:eastAsia="en-US"/>
              </w:rPr>
              <w:t xml:space="preserve"> EO</w:t>
            </w:r>
            <w:r w:rsidR="0041045C">
              <w:rPr>
                <w:rFonts w:asciiTheme="minorHAnsi" w:hAnsiTheme="minorHAnsi" w:cstheme="minorHAnsi"/>
                <w:sz w:val="22"/>
                <w:szCs w:val="22"/>
                <w:lang w:eastAsia="en-US"/>
              </w:rPr>
              <w:t xml:space="preserve">, </w:t>
            </w:r>
          </w:p>
          <w:p w14:paraId="7CF68CD0" w14:textId="6A835BA3" w:rsidR="00BB009D" w:rsidRPr="00992D5B" w:rsidRDefault="0041045C" w:rsidP="00BB009D">
            <w:pPr>
              <w:pStyle w:val="ListParagraph"/>
              <w:numPr>
                <w:ilvl w:val="0"/>
                <w:numId w:val="13"/>
              </w:numPr>
              <w:rPr>
                <w:rFonts w:asciiTheme="minorHAnsi" w:hAnsiTheme="minorHAnsi" w:cstheme="minorHAnsi"/>
                <w:sz w:val="22"/>
                <w:szCs w:val="22"/>
                <w:lang w:eastAsia="en-US"/>
              </w:rPr>
            </w:pPr>
            <w:r>
              <w:rPr>
                <w:rFonts w:asciiTheme="minorHAnsi" w:hAnsiTheme="minorHAnsi" w:cstheme="minorHAnsi"/>
                <w:sz w:val="22"/>
                <w:szCs w:val="22"/>
                <w:lang w:eastAsia="en-US"/>
              </w:rPr>
              <w:t>B6 – AO.</w:t>
            </w:r>
            <w:r w:rsidR="0063097F" w:rsidRPr="00691902">
              <w:rPr>
                <w:rFonts w:asciiTheme="minorHAnsi" w:hAnsiTheme="minorHAnsi" w:cstheme="minorHAnsi"/>
                <w:sz w:val="22"/>
                <w:szCs w:val="22"/>
                <w:lang w:eastAsia="en-US"/>
              </w:rPr>
              <w:t xml:space="preserve"> </w:t>
            </w:r>
          </w:p>
          <w:p w14:paraId="7959A24F" w14:textId="6370DB47" w:rsidR="00064E32" w:rsidRPr="00992D5B" w:rsidRDefault="00BB009D" w:rsidP="00BB009D">
            <w:pPr>
              <w:rPr>
                <w:rFonts w:asciiTheme="minorHAnsi" w:hAnsiTheme="minorHAnsi" w:cstheme="minorHAnsi"/>
                <w:lang w:eastAsia="en-US"/>
              </w:rPr>
            </w:pPr>
            <w:r w:rsidRPr="00992D5B">
              <w:rPr>
                <w:rFonts w:asciiTheme="minorHAnsi" w:hAnsiTheme="minorHAnsi" w:cstheme="minorHAnsi"/>
                <w:sz w:val="24"/>
                <w:szCs w:val="24"/>
                <w:lang w:eastAsia="en-US"/>
              </w:rPr>
              <w:t xml:space="preserve">To confirm, there will be no change in salary </w:t>
            </w:r>
            <w:r w:rsidR="0095416E" w:rsidRPr="00992D5B">
              <w:rPr>
                <w:rFonts w:asciiTheme="minorHAnsi" w:hAnsiTheme="minorHAnsi" w:cstheme="minorHAnsi"/>
                <w:sz w:val="24"/>
                <w:szCs w:val="24"/>
                <w:lang w:eastAsia="en-US"/>
              </w:rPr>
              <w:t xml:space="preserve">for transferring employees </w:t>
            </w:r>
            <w:r w:rsidRPr="00992D5B">
              <w:rPr>
                <w:rFonts w:asciiTheme="minorHAnsi" w:hAnsiTheme="minorHAnsi" w:cstheme="minorHAnsi"/>
                <w:sz w:val="24"/>
                <w:szCs w:val="24"/>
                <w:lang w:eastAsia="en-US"/>
              </w:rPr>
              <w:t xml:space="preserve">on transfer </w:t>
            </w:r>
            <w:r w:rsidR="0095416E" w:rsidRPr="00992D5B">
              <w:rPr>
                <w:rFonts w:asciiTheme="minorHAnsi" w:hAnsiTheme="minorHAnsi" w:cstheme="minorHAnsi"/>
                <w:sz w:val="24"/>
                <w:szCs w:val="24"/>
                <w:lang w:eastAsia="en-US"/>
              </w:rPr>
              <w:t xml:space="preserve">to BSR </w:t>
            </w:r>
            <w:proofErr w:type="gramStart"/>
            <w:r w:rsidR="0095416E" w:rsidRPr="00992D5B">
              <w:rPr>
                <w:rFonts w:asciiTheme="minorHAnsi" w:hAnsiTheme="minorHAnsi" w:cstheme="minorHAnsi"/>
                <w:sz w:val="24"/>
                <w:szCs w:val="24"/>
                <w:lang w:eastAsia="en-US"/>
              </w:rPr>
              <w:t>as a result of</w:t>
            </w:r>
            <w:proofErr w:type="gramEnd"/>
            <w:r w:rsidR="0095416E" w:rsidRPr="00992D5B">
              <w:rPr>
                <w:rFonts w:asciiTheme="minorHAnsi" w:hAnsiTheme="minorHAnsi" w:cstheme="minorHAnsi"/>
                <w:sz w:val="24"/>
                <w:szCs w:val="24"/>
                <w:lang w:eastAsia="en-US"/>
              </w:rPr>
              <w:t xml:space="preserve"> </w:t>
            </w:r>
            <w:r w:rsidR="0095416E">
              <w:rPr>
                <w:rFonts w:asciiTheme="minorHAnsi" w:hAnsiTheme="minorHAnsi" w:cstheme="minorHAnsi"/>
                <w:sz w:val="24"/>
                <w:szCs w:val="24"/>
                <w:lang w:eastAsia="en-US"/>
              </w:rPr>
              <w:t>this change i.e</w:t>
            </w:r>
            <w:r w:rsidR="0095416E" w:rsidRPr="00992D5B">
              <w:rPr>
                <w:rFonts w:asciiTheme="minorHAnsi" w:hAnsiTheme="minorHAnsi" w:cstheme="minorHAnsi"/>
                <w:sz w:val="24"/>
                <w:szCs w:val="24"/>
                <w:lang w:eastAsia="en-US"/>
              </w:rPr>
              <w:t>.</w:t>
            </w:r>
            <w:r w:rsidR="0095416E">
              <w:rPr>
                <w:rFonts w:asciiTheme="minorHAnsi" w:hAnsiTheme="minorHAnsi" w:cstheme="minorHAnsi"/>
                <w:sz w:val="24"/>
                <w:szCs w:val="24"/>
                <w:lang w:eastAsia="en-US"/>
              </w:rPr>
              <w:t xml:space="preserve"> the change in grade</w:t>
            </w:r>
            <w:r w:rsidR="0095416E" w:rsidRPr="00992D5B">
              <w:rPr>
                <w:rFonts w:asciiTheme="minorHAnsi" w:hAnsiTheme="minorHAnsi" w:cstheme="minorHAnsi"/>
                <w:sz w:val="24"/>
                <w:szCs w:val="24"/>
                <w:lang w:eastAsia="en-US"/>
              </w:rPr>
              <w:t xml:space="preserve"> </w:t>
            </w:r>
            <w:r w:rsidR="0063097F" w:rsidRPr="00CE2394">
              <w:rPr>
                <w:rFonts w:asciiTheme="minorHAnsi" w:hAnsiTheme="minorHAnsi" w:cstheme="minorHAnsi"/>
                <w:sz w:val="24"/>
                <w:szCs w:val="24"/>
                <w:lang w:eastAsia="en-US"/>
              </w:rPr>
              <w:t>is in name only</w:t>
            </w:r>
            <w:r w:rsidR="00CE2394">
              <w:rPr>
                <w:rFonts w:asciiTheme="minorHAnsi" w:hAnsiTheme="minorHAnsi" w:cstheme="minorHAnsi"/>
                <w:sz w:val="24"/>
                <w:szCs w:val="24"/>
                <w:lang w:eastAsia="en-US"/>
              </w:rPr>
              <w:t>.</w:t>
            </w:r>
            <w:r w:rsidR="0095416E">
              <w:rPr>
                <w:rFonts w:asciiTheme="minorHAnsi" w:hAnsiTheme="minorHAnsi" w:cstheme="minorHAnsi"/>
                <w:sz w:val="24"/>
                <w:szCs w:val="24"/>
                <w:lang w:eastAsia="en-US"/>
              </w:rPr>
              <w:t xml:space="preserve"> </w:t>
            </w:r>
            <w:r w:rsidR="00AA40C7" w:rsidRPr="00CE2394">
              <w:rPr>
                <w:rFonts w:asciiTheme="minorHAnsi" w:hAnsiTheme="minorHAnsi" w:cstheme="minorHAnsi"/>
                <w:sz w:val="24"/>
                <w:szCs w:val="24"/>
                <w:lang w:eastAsia="en-US"/>
              </w:rPr>
              <w:t xml:space="preserve">This is an additional change </w:t>
            </w:r>
            <w:r w:rsidR="00F337BF">
              <w:rPr>
                <w:rFonts w:asciiTheme="minorHAnsi" w:hAnsiTheme="minorHAnsi" w:cstheme="minorHAnsi"/>
                <w:sz w:val="24"/>
                <w:szCs w:val="24"/>
                <w:lang w:eastAsia="en-US"/>
              </w:rPr>
              <w:t xml:space="preserve">identified </w:t>
            </w:r>
            <w:r w:rsidR="00AA40C7" w:rsidRPr="00CE2394">
              <w:rPr>
                <w:rFonts w:asciiTheme="minorHAnsi" w:hAnsiTheme="minorHAnsi" w:cstheme="minorHAnsi"/>
                <w:sz w:val="24"/>
                <w:szCs w:val="24"/>
                <w:lang w:eastAsia="en-US"/>
              </w:rPr>
              <w:t>since the original proposed statement</w:t>
            </w:r>
            <w:r w:rsidRPr="00CE2394">
              <w:rPr>
                <w:rFonts w:asciiTheme="minorHAnsi" w:hAnsiTheme="minorHAnsi" w:cstheme="minorHAnsi"/>
                <w:sz w:val="24"/>
                <w:szCs w:val="24"/>
                <w:lang w:eastAsia="en-US"/>
              </w:rPr>
              <w:t xml:space="preserve"> of changes</w:t>
            </w:r>
            <w:r w:rsidR="00AA40C7" w:rsidRPr="00CE2394">
              <w:rPr>
                <w:rFonts w:asciiTheme="minorHAnsi" w:hAnsiTheme="minorHAnsi" w:cstheme="minorHAnsi"/>
                <w:sz w:val="24"/>
                <w:szCs w:val="24"/>
                <w:lang w:eastAsia="en-US"/>
              </w:rPr>
              <w:t>.</w:t>
            </w:r>
          </w:p>
        </w:tc>
      </w:tr>
      <w:tr w:rsidR="0063097F" w:rsidRPr="00146776" w14:paraId="26121B0F" w14:textId="77777777" w:rsidTr="00146776">
        <w:trPr>
          <w:trHeight w:val="575"/>
        </w:trPr>
        <w:tc>
          <w:tcPr>
            <w:tcW w:w="2204" w:type="dxa"/>
          </w:tcPr>
          <w:p w14:paraId="3327E404" w14:textId="0E12DA5C" w:rsidR="0063097F" w:rsidRPr="00146776" w:rsidRDefault="0063097F" w:rsidP="001E254C">
            <w:pPr>
              <w:pStyle w:val="CSHRBodyText"/>
              <w:rPr>
                <w:rFonts w:asciiTheme="minorHAnsi" w:hAnsiTheme="minorHAnsi" w:cstheme="minorHAnsi"/>
                <w:b/>
                <w:bCs/>
                <w:sz w:val="24"/>
                <w:szCs w:val="24"/>
              </w:rPr>
            </w:pPr>
            <w:r w:rsidRPr="00146776">
              <w:rPr>
                <w:rFonts w:asciiTheme="minorHAnsi" w:hAnsiTheme="minorHAnsi" w:cstheme="minorHAnsi"/>
                <w:b/>
                <w:bCs/>
                <w:sz w:val="24"/>
                <w:szCs w:val="24"/>
              </w:rPr>
              <w:t>Pay</w:t>
            </w:r>
          </w:p>
        </w:tc>
        <w:tc>
          <w:tcPr>
            <w:tcW w:w="7719" w:type="dxa"/>
          </w:tcPr>
          <w:p w14:paraId="1C633C6E" w14:textId="41D457E5" w:rsidR="0063097F" w:rsidRPr="00146776" w:rsidRDefault="0063097F" w:rsidP="00064E32">
            <w:p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BSR will adopt the “Non-Standard A” pay scale for specific roles</w:t>
            </w:r>
            <w:r w:rsidR="00A432AD">
              <w:rPr>
                <w:rFonts w:asciiTheme="minorHAnsi" w:hAnsiTheme="minorHAnsi" w:cstheme="minorHAnsi"/>
                <w:sz w:val="24"/>
                <w:szCs w:val="24"/>
                <w:lang w:eastAsia="en-US"/>
              </w:rPr>
              <w:t xml:space="preserve"> on transfer</w:t>
            </w:r>
            <w:r w:rsidRPr="00146776">
              <w:rPr>
                <w:rFonts w:asciiTheme="minorHAnsi" w:hAnsiTheme="minorHAnsi" w:cstheme="minorHAnsi"/>
                <w:sz w:val="24"/>
                <w:szCs w:val="24"/>
                <w:lang w:eastAsia="en-US"/>
              </w:rPr>
              <w:t xml:space="preserve">: Fire Engineers, Structural Engineers and Registered Building Inspectors, dependent on </w:t>
            </w:r>
            <w:r w:rsidR="00874407">
              <w:rPr>
                <w:rFonts w:asciiTheme="minorHAnsi" w:hAnsiTheme="minorHAnsi" w:cstheme="minorHAnsi"/>
                <w:sz w:val="24"/>
                <w:szCs w:val="24"/>
                <w:lang w:eastAsia="en-US"/>
              </w:rPr>
              <w:t xml:space="preserve">transferring employees </w:t>
            </w:r>
            <w:r w:rsidRPr="00146776">
              <w:rPr>
                <w:rFonts w:asciiTheme="minorHAnsi" w:hAnsiTheme="minorHAnsi" w:cstheme="minorHAnsi"/>
                <w:sz w:val="24"/>
                <w:szCs w:val="24"/>
                <w:lang w:eastAsia="en-US"/>
              </w:rPr>
              <w:t>having relevant essential qualifications.</w:t>
            </w:r>
            <w:r w:rsidR="00AA40C7">
              <w:rPr>
                <w:rFonts w:asciiTheme="minorHAnsi" w:hAnsiTheme="minorHAnsi" w:cstheme="minorHAnsi"/>
                <w:sz w:val="24"/>
                <w:szCs w:val="24"/>
                <w:lang w:eastAsia="en-US"/>
              </w:rPr>
              <w:t xml:space="preserve"> This is an additional change </w:t>
            </w:r>
            <w:r w:rsidR="00F337BF">
              <w:rPr>
                <w:rFonts w:asciiTheme="minorHAnsi" w:hAnsiTheme="minorHAnsi" w:cstheme="minorHAnsi"/>
                <w:sz w:val="24"/>
                <w:szCs w:val="24"/>
                <w:lang w:eastAsia="en-US"/>
              </w:rPr>
              <w:t xml:space="preserve">identified </w:t>
            </w:r>
            <w:r w:rsidR="00AA40C7">
              <w:rPr>
                <w:rFonts w:asciiTheme="minorHAnsi" w:hAnsiTheme="minorHAnsi" w:cstheme="minorHAnsi"/>
                <w:sz w:val="24"/>
                <w:szCs w:val="24"/>
                <w:lang w:eastAsia="en-US"/>
              </w:rPr>
              <w:t>since the original proposed statement</w:t>
            </w:r>
            <w:r w:rsidR="0095416E">
              <w:rPr>
                <w:rFonts w:asciiTheme="minorHAnsi" w:hAnsiTheme="minorHAnsi" w:cstheme="minorHAnsi"/>
                <w:sz w:val="24"/>
                <w:szCs w:val="24"/>
                <w:lang w:eastAsia="en-US"/>
              </w:rPr>
              <w:t xml:space="preserve"> of changes</w:t>
            </w:r>
            <w:r w:rsidR="00AA40C7">
              <w:rPr>
                <w:rFonts w:asciiTheme="minorHAnsi" w:hAnsiTheme="minorHAnsi" w:cstheme="minorHAnsi"/>
                <w:sz w:val="24"/>
                <w:szCs w:val="24"/>
                <w:lang w:eastAsia="en-US"/>
              </w:rPr>
              <w:t>.</w:t>
            </w:r>
          </w:p>
        </w:tc>
      </w:tr>
      <w:tr w:rsidR="00146776" w:rsidRPr="00146776" w14:paraId="776AE8DF" w14:textId="77777777" w:rsidTr="00146776">
        <w:trPr>
          <w:trHeight w:val="413"/>
        </w:trPr>
        <w:tc>
          <w:tcPr>
            <w:tcW w:w="2204" w:type="dxa"/>
          </w:tcPr>
          <w:p w14:paraId="4460D0EB" w14:textId="0F049B61" w:rsidR="00146776" w:rsidRPr="00146776" w:rsidRDefault="00146776" w:rsidP="001E254C">
            <w:pPr>
              <w:pStyle w:val="CSHRBodyText"/>
              <w:rPr>
                <w:rFonts w:asciiTheme="minorHAnsi" w:hAnsiTheme="minorHAnsi" w:cstheme="minorHAnsi"/>
                <w:b/>
                <w:bCs/>
                <w:sz w:val="24"/>
                <w:szCs w:val="24"/>
              </w:rPr>
            </w:pPr>
            <w:r w:rsidRPr="00146776">
              <w:rPr>
                <w:rFonts w:asciiTheme="minorHAnsi" w:hAnsiTheme="minorHAnsi" w:cstheme="minorHAnsi"/>
                <w:b/>
                <w:bCs/>
                <w:sz w:val="24"/>
                <w:szCs w:val="24"/>
              </w:rPr>
              <w:t>Whistleblowing</w:t>
            </w:r>
          </w:p>
        </w:tc>
        <w:tc>
          <w:tcPr>
            <w:tcW w:w="7719" w:type="dxa"/>
          </w:tcPr>
          <w:p w14:paraId="513B9FB6" w14:textId="1FC5A919" w:rsidR="00146776" w:rsidRPr="00146776" w:rsidRDefault="00146776" w:rsidP="00064E32">
            <w:pPr>
              <w:rPr>
                <w:rFonts w:asciiTheme="minorHAnsi" w:hAnsiTheme="minorHAnsi" w:cstheme="minorHAnsi"/>
                <w:sz w:val="24"/>
                <w:szCs w:val="24"/>
                <w:lang w:eastAsia="en-US"/>
              </w:rPr>
            </w:pPr>
            <w:r w:rsidRPr="00146776">
              <w:rPr>
                <w:rFonts w:asciiTheme="minorHAnsi" w:hAnsiTheme="minorHAnsi" w:cstheme="minorHAnsi"/>
                <w:sz w:val="24"/>
                <w:szCs w:val="24"/>
                <w:lang w:eastAsia="en-US"/>
              </w:rPr>
              <w:t>BSR will adopt its own whistleblowing policy</w:t>
            </w:r>
            <w:r w:rsidR="0095416E">
              <w:rPr>
                <w:rFonts w:asciiTheme="minorHAnsi" w:hAnsiTheme="minorHAnsi" w:cstheme="minorHAnsi"/>
                <w:sz w:val="24"/>
                <w:szCs w:val="24"/>
                <w:lang w:eastAsia="en-US"/>
              </w:rPr>
              <w:t xml:space="preserve"> which is more appropriate for the new organisation</w:t>
            </w:r>
            <w:r w:rsidRPr="00146776">
              <w:rPr>
                <w:rFonts w:asciiTheme="minorHAnsi" w:hAnsiTheme="minorHAnsi" w:cstheme="minorHAnsi"/>
                <w:sz w:val="24"/>
                <w:szCs w:val="24"/>
                <w:lang w:eastAsia="en-US"/>
              </w:rPr>
              <w:t>.</w:t>
            </w:r>
            <w:r w:rsidR="00AA40C7">
              <w:rPr>
                <w:rFonts w:asciiTheme="minorHAnsi" w:hAnsiTheme="minorHAnsi" w:cstheme="minorHAnsi"/>
                <w:sz w:val="24"/>
                <w:szCs w:val="24"/>
                <w:lang w:eastAsia="en-US"/>
              </w:rPr>
              <w:t xml:space="preserve"> </w:t>
            </w:r>
            <w:r w:rsidR="0095416E">
              <w:rPr>
                <w:rFonts w:asciiTheme="minorHAnsi" w:hAnsiTheme="minorHAnsi" w:cstheme="minorHAnsi"/>
                <w:sz w:val="24"/>
                <w:szCs w:val="24"/>
                <w:lang w:eastAsia="en-US"/>
              </w:rPr>
              <w:t xml:space="preserve"> BSR’s replacement whistleblowing policy has been shared and agreed during consultation. </w:t>
            </w:r>
            <w:r w:rsidR="00AA40C7">
              <w:rPr>
                <w:rFonts w:asciiTheme="minorHAnsi" w:hAnsiTheme="minorHAnsi" w:cstheme="minorHAnsi"/>
                <w:sz w:val="24"/>
                <w:szCs w:val="24"/>
                <w:lang w:eastAsia="en-US"/>
              </w:rPr>
              <w:t xml:space="preserve">This is an additional change </w:t>
            </w:r>
            <w:r w:rsidR="0095416E">
              <w:rPr>
                <w:rFonts w:asciiTheme="minorHAnsi" w:hAnsiTheme="minorHAnsi" w:cstheme="minorHAnsi"/>
                <w:sz w:val="24"/>
                <w:szCs w:val="24"/>
                <w:lang w:eastAsia="en-US"/>
              </w:rPr>
              <w:t xml:space="preserve">identified </w:t>
            </w:r>
            <w:r w:rsidR="00AA40C7">
              <w:rPr>
                <w:rFonts w:asciiTheme="minorHAnsi" w:hAnsiTheme="minorHAnsi" w:cstheme="minorHAnsi"/>
                <w:sz w:val="24"/>
                <w:szCs w:val="24"/>
                <w:lang w:eastAsia="en-US"/>
              </w:rPr>
              <w:t>since the original proposed statement</w:t>
            </w:r>
            <w:r w:rsidR="0095416E">
              <w:rPr>
                <w:rFonts w:asciiTheme="minorHAnsi" w:hAnsiTheme="minorHAnsi" w:cstheme="minorHAnsi"/>
                <w:sz w:val="24"/>
                <w:szCs w:val="24"/>
                <w:lang w:eastAsia="en-US"/>
              </w:rPr>
              <w:t xml:space="preserve"> of changes</w:t>
            </w:r>
            <w:r w:rsidR="00AA40C7">
              <w:rPr>
                <w:rFonts w:asciiTheme="minorHAnsi" w:hAnsiTheme="minorHAnsi" w:cstheme="minorHAnsi"/>
                <w:sz w:val="24"/>
                <w:szCs w:val="24"/>
                <w:lang w:eastAsia="en-US"/>
              </w:rPr>
              <w:t>.</w:t>
            </w:r>
          </w:p>
        </w:tc>
      </w:tr>
    </w:tbl>
    <w:p w14:paraId="332693C2" w14:textId="7BF160A5" w:rsidR="0045711F" w:rsidRPr="0045711F" w:rsidRDefault="0045711F" w:rsidP="00FE0C02">
      <w:pPr>
        <w:pStyle w:val="BodyText"/>
        <w:rPr>
          <w:b/>
          <w:bCs/>
        </w:rPr>
      </w:pPr>
    </w:p>
    <w:sectPr w:rsidR="0045711F" w:rsidRPr="0045711F" w:rsidSect="00154591">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AFA3" w14:textId="77777777" w:rsidR="003971E8" w:rsidRPr="00FE0C02" w:rsidRDefault="003971E8" w:rsidP="00056850">
      <w:r w:rsidRPr="00FE0C02">
        <w:separator/>
      </w:r>
    </w:p>
  </w:endnote>
  <w:endnote w:type="continuationSeparator" w:id="0">
    <w:p w14:paraId="1D128FD4" w14:textId="77777777" w:rsidR="003971E8" w:rsidRPr="00FE0C02" w:rsidRDefault="003971E8" w:rsidP="00056850">
      <w:r w:rsidRPr="00FE0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8746" w14:textId="3BF78FC2" w:rsidR="00E9031A" w:rsidRPr="00FE0C02" w:rsidRDefault="00D25A12">
    <w:pPr>
      <w:pStyle w:val="Footer"/>
    </w:pPr>
    <w:r>
      <w:rPr>
        <w:noProof/>
      </w:rPr>
      <mc:AlternateContent>
        <mc:Choice Requires="wps">
          <w:drawing>
            <wp:anchor distT="0" distB="0" distL="0" distR="0" simplePos="0" relativeHeight="251658752" behindDoc="0" locked="0" layoutInCell="1" allowOverlap="1" wp14:anchorId="2352D3DB" wp14:editId="557DBAC9">
              <wp:simplePos x="635" y="635"/>
              <wp:positionH relativeFrom="page">
                <wp:align>center</wp:align>
              </wp:positionH>
              <wp:positionV relativeFrom="page">
                <wp:align>bottom</wp:align>
              </wp:positionV>
              <wp:extent cx="1137920" cy="345440"/>
              <wp:effectExtent l="0" t="0" r="5080" b="0"/>
              <wp:wrapNone/>
              <wp:docPr id="1338713786"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0B1E6734" w14:textId="2869F129"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2D3DB"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89.6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" filled="f" stroked="f">
              <v:textbox style="mso-fit-shape-to-text:t" inset="0,0,0,15pt">
                <w:txbxContent>
                  <w:p w14:paraId="0B1E6734" w14:textId="2869F129"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3C3E" w14:textId="137D61C5" w:rsidR="00154591" w:rsidRPr="00FE0C02" w:rsidRDefault="00D25A12" w:rsidP="00154591">
    <w:pPr>
      <w:pStyle w:val="Footer"/>
    </w:pPr>
    <w:r>
      <w:rPr>
        <w:noProof/>
      </w:rPr>
      <mc:AlternateContent>
        <mc:Choice Requires="wps">
          <w:drawing>
            <wp:anchor distT="0" distB="0" distL="0" distR="0" simplePos="0" relativeHeight="251659776" behindDoc="0" locked="0" layoutInCell="1" allowOverlap="1" wp14:anchorId="4C1C6F4C" wp14:editId="0EE688B9">
              <wp:simplePos x="635" y="635"/>
              <wp:positionH relativeFrom="page">
                <wp:align>center</wp:align>
              </wp:positionH>
              <wp:positionV relativeFrom="page">
                <wp:align>bottom</wp:align>
              </wp:positionV>
              <wp:extent cx="1137920" cy="345440"/>
              <wp:effectExtent l="0" t="0" r="5080" b="0"/>
              <wp:wrapNone/>
              <wp:docPr id="847975847"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3530EFA4" w14:textId="31664357"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C6F4C"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9.6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" filled="f" stroked="f">
              <v:textbox style="mso-fit-shape-to-text:t" inset="0,0,0,15pt">
                <w:txbxContent>
                  <w:p w14:paraId="3530EFA4" w14:textId="31664357"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r w:rsidR="00154591" w:rsidRPr="00FE0C02">
      <w:fldChar w:fldCharType="begin"/>
    </w:r>
    <w:r w:rsidR="00154591" w:rsidRPr="00FE0C02">
      <w:instrText xml:space="preserve"> PAGE   \* MERGEFORMAT </w:instrText>
    </w:r>
    <w:r w:rsidR="00154591" w:rsidRPr="00FE0C02">
      <w:fldChar w:fldCharType="separate"/>
    </w:r>
    <w:r w:rsidR="00154591" w:rsidRPr="00FE0C02">
      <w:t>1</w:t>
    </w:r>
    <w:r w:rsidR="00154591" w:rsidRPr="00FE0C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7CE" w14:textId="660508AE" w:rsidR="008732B0" w:rsidRDefault="00D25A12">
    <w:pPr>
      <w:pStyle w:val="Footer"/>
    </w:pPr>
    <w:r>
      <w:rPr>
        <w:noProof/>
      </w:rPr>
      <mc:AlternateContent>
        <mc:Choice Requires="wps">
          <w:drawing>
            <wp:anchor distT="0" distB="0" distL="0" distR="0" simplePos="0" relativeHeight="251657728" behindDoc="0" locked="0" layoutInCell="1" allowOverlap="1" wp14:anchorId="6A2AF57E" wp14:editId="709BEDE0">
              <wp:simplePos x="635" y="635"/>
              <wp:positionH relativeFrom="page">
                <wp:align>center</wp:align>
              </wp:positionH>
              <wp:positionV relativeFrom="page">
                <wp:align>bottom</wp:align>
              </wp:positionV>
              <wp:extent cx="1137920" cy="345440"/>
              <wp:effectExtent l="0" t="0" r="5080" b="0"/>
              <wp:wrapNone/>
              <wp:docPr id="142066020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0B8C87BE" w14:textId="294034A7"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AF57E"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89.6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" filled="f" stroked="f">
              <v:textbox style="mso-fit-shape-to-text:t" inset="0,0,0,15pt">
                <w:txbxContent>
                  <w:p w14:paraId="0B8C87BE" w14:textId="294034A7"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sdt>
      <w:sdtPr>
        <w:id w:val="111251077"/>
        <w:docPartObj>
          <w:docPartGallery w:val="Page Numbers (Bottom of Page)"/>
          <w:docPartUnique/>
        </w:docPartObj>
      </w:sdtPr>
      <w:sdtEndPr>
        <w:rPr>
          <w:noProof/>
        </w:rPr>
      </w:sdtEndPr>
      <w:sdtContent>
        <w:r w:rsidR="008732B0">
          <w:fldChar w:fldCharType="begin"/>
        </w:r>
        <w:r w:rsidR="008732B0">
          <w:instrText xml:space="preserve"> PAGE   \* MERGEFORMAT </w:instrText>
        </w:r>
        <w:r w:rsidR="008732B0">
          <w:fldChar w:fldCharType="separate"/>
        </w:r>
        <w:r w:rsidR="008732B0">
          <w:rPr>
            <w:noProof/>
          </w:rPr>
          <w:t>2</w:t>
        </w:r>
        <w:r w:rsidR="008732B0">
          <w:rPr>
            <w:noProof/>
          </w:rPr>
          <w:fldChar w:fldCharType="end"/>
        </w:r>
      </w:sdtContent>
    </w:sdt>
  </w:p>
  <w:p w14:paraId="3956E255" w14:textId="78482254" w:rsidR="00E9031A" w:rsidRPr="00FE0C02" w:rsidRDefault="00E9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D6A2" w14:textId="77777777" w:rsidR="003971E8" w:rsidRPr="00FE0C02" w:rsidRDefault="003971E8" w:rsidP="00056850">
      <w:r w:rsidRPr="00FE0C02">
        <w:separator/>
      </w:r>
    </w:p>
  </w:footnote>
  <w:footnote w:type="continuationSeparator" w:id="0">
    <w:p w14:paraId="46831AF1" w14:textId="77777777" w:rsidR="003971E8" w:rsidRPr="00FE0C02" w:rsidRDefault="003971E8" w:rsidP="00056850">
      <w:r w:rsidRPr="00FE0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3956" w14:textId="33F8C117" w:rsidR="00E9031A" w:rsidRPr="00FE0C02" w:rsidRDefault="00D25A12">
    <w:pPr>
      <w:pStyle w:val="Header"/>
    </w:pPr>
    <w:r>
      <w:rPr>
        <w:noProof/>
      </w:rPr>
      <mc:AlternateContent>
        <mc:Choice Requires="wps">
          <w:drawing>
            <wp:anchor distT="0" distB="0" distL="0" distR="0" simplePos="0" relativeHeight="251655680" behindDoc="0" locked="0" layoutInCell="1" allowOverlap="1" wp14:anchorId="6914611A" wp14:editId="0E17F61E">
              <wp:simplePos x="635" y="635"/>
              <wp:positionH relativeFrom="page">
                <wp:align>center</wp:align>
              </wp:positionH>
              <wp:positionV relativeFrom="page">
                <wp:align>top</wp:align>
              </wp:positionV>
              <wp:extent cx="1137920" cy="345440"/>
              <wp:effectExtent l="0" t="0" r="5080" b="16510"/>
              <wp:wrapNone/>
              <wp:docPr id="1721173496"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591E62F0" w14:textId="7DC683AD"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4611A"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89.6pt;height:27.2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13CwIAABYEAAAOAAAAZHJzL2Uyb0RvYy54bWysU01v2zAMvQ/YfxB0X+yk6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" filled="f" stroked="f">
              <v:textbox style="mso-fit-shape-to-text:t" inset="0,15pt,0,0">
                <w:txbxContent>
                  <w:p w14:paraId="591E62F0" w14:textId="7DC683AD"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540E" w14:textId="20E2518A" w:rsidR="00E9031A" w:rsidRPr="00FE0C02" w:rsidRDefault="00D25A12">
    <w:pPr>
      <w:pStyle w:val="Header"/>
    </w:pPr>
    <w:r>
      <w:rPr>
        <w:noProof/>
      </w:rPr>
      <mc:AlternateContent>
        <mc:Choice Requires="wps">
          <w:drawing>
            <wp:anchor distT="0" distB="0" distL="0" distR="0" simplePos="0" relativeHeight="251656704" behindDoc="0" locked="0" layoutInCell="1" allowOverlap="1" wp14:anchorId="35A3346E" wp14:editId="12A157F2">
              <wp:simplePos x="635" y="635"/>
              <wp:positionH relativeFrom="page">
                <wp:align>center</wp:align>
              </wp:positionH>
              <wp:positionV relativeFrom="page">
                <wp:align>top</wp:align>
              </wp:positionV>
              <wp:extent cx="1137920" cy="345440"/>
              <wp:effectExtent l="0" t="0" r="5080" b="16510"/>
              <wp:wrapNone/>
              <wp:docPr id="361221797"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31E2EE38" w14:textId="69D9B7A1"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3346E"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89.6pt;height:27.2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" filled="f" stroked="f">
              <v:textbox style="mso-fit-shape-to-text:t" inset="0,15pt,0,0">
                <w:txbxContent>
                  <w:p w14:paraId="31E2EE38" w14:textId="69D9B7A1"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8A6" w14:textId="2F149763" w:rsidR="00E9031A" w:rsidRPr="00FE0C02" w:rsidRDefault="00D25A12">
    <w:pPr>
      <w:pStyle w:val="Header"/>
    </w:pPr>
    <w:r>
      <w:rPr>
        <w:noProof/>
      </w:rPr>
      <mc:AlternateContent>
        <mc:Choice Requires="wps">
          <w:drawing>
            <wp:anchor distT="0" distB="0" distL="0" distR="0" simplePos="0" relativeHeight="251654656" behindDoc="0" locked="0" layoutInCell="1" allowOverlap="1" wp14:anchorId="440080C3" wp14:editId="681C5AB3">
              <wp:simplePos x="635" y="635"/>
              <wp:positionH relativeFrom="page">
                <wp:align>center</wp:align>
              </wp:positionH>
              <wp:positionV relativeFrom="page">
                <wp:align>top</wp:align>
              </wp:positionV>
              <wp:extent cx="1137920" cy="345440"/>
              <wp:effectExtent l="0" t="0" r="5080" b="16510"/>
              <wp:wrapNone/>
              <wp:docPr id="256885196"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7D923144" w14:textId="6C78E673"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080C3"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89.6pt;height:27.2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K3DwIAAB0EAAAOAAAAZHJzL2Uyb0RvYy54bWysU01v2zAMvQ/YfxB0X+yk6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" filled="f" stroked="f">
              <v:textbox style="mso-fit-shape-to-text:t" inset="0,15pt,0,0">
                <w:txbxContent>
                  <w:p w14:paraId="7D923144" w14:textId="6C78E673" w:rsidR="00D25A12" w:rsidRPr="00D25A12" w:rsidRDefault="00D25A12" w:rsidP="00D25A12">
                    <w:pPr>
                      <w:rPr>
                        <w:rFonts w:ascii="Aptos" w:eastAsia="Aptos" w:hAnsi="Aptos" w:cs="Aptos"/>
                        <w:noProof/>
                        <w:color w:val="000000"/>
                        <w:sz w:val="20"/>
                        <w:szCs w:val="20"/>
                      </w:rPr>
                    </w:pPr>
                    <w:r w:rsidRPr="00D25A12">
                      <w:rPr>
                        <w:rFonts w:ascii="Aptos" w:eastAsia="Aptos" w:hAnsi="Aptos" w:cs="Aptos"/>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47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CD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E8BE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E8A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1025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729B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EA5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8D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366F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61F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E1A9A"/>
    <w:multiLevelType w:val="hybridMultilevel"/>
    <w:tmpl w:val="89E4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433A0"/>
    <w:multiLevelType w:val="hybridMultilevel"/>
    <w:tmpl w:val="58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364CC"/>
    <w:multiLevelType w:val="hybridMultilevel"/>
    <w:tmpl w:val="55DE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393022">
    <w:abstractNumId w:val="9"/>
  </w:num>
  <w:num w:numId="2" w16cid:durableId="1371148886">
    <w:abstractNumId w:val="7"/>
  </w:num>
  <w:num w:numId="3" w16cid:durableId="2064476797">
    <w:abstractNumId w:val="6"/>
  </w:num>
  <w:num w:numId="4" w16cid:durableId="1826160898">
    <w:abstractNumId w:val="5"/>
  </w:num>
  <w:num w:numId="5" w16cid:durableId="1514879390">
    <w:abstractNumId w:val="4"/>
  </w:num>
  <w:num w:numId="6" w16cid:durableId="2147121487">
    <w:abstractNumId w:val="8"/>
  </w:num>
  <w:num w:numId="7" w16cid:durableId="351996113">
    <w:abstractNumId w:val="3"/>
  </w:num>
  <w:num w:numId="8" w16cid:durableId="2059742302">
    <w:abstractNumId w:val="2"/>
  </w:num>
  <w:num w:numId="9" w16cid:durableId="957952145">
    <w:abstractNumId w:val="1"/>
  </w:num>
  <w:num w:numId="10" w16cid:durableId="589578853">
    <w:abstractNumId w:val="0"/>
  </w:num>
  <w:num w:numId="11" w16cid:durableId="602613185">
    <w:abstractNumId w:val="10"/>
  </w:num>
  <w:num w:numId="12" w16cid:durableId="1096945807">
    <w:abstractNumId w:val="12"/>
  </w:num>
  <w:num w:numId="13" w16cid:durableId="149868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608058"/>
    <w:docVar w:name="CLIENTID" w:val="1645"/>
    <w:docVar w:name="COMPANYID" w:val="2122615613"/>
    <w:docVar w:name="DOCID" w:val=" "/>
    <w:docVar w:name="EDITION" w:val="FM"/>
    <w:docVar w:name="FILEID" w:val="376599"/>
    <w:docVar w:name="SERIALNO" w:val="11311"/>
  </w:docVars>
  <w:rsids>
    <w:rsidRoot w:val="00C8137B"/>
    <w:rsid w:val="000100F3"/>
    <w:rsid w:val="00011809"/>
    <w:rsid w:val="00026932"/>
    <w:rsid w:val="00026AA3"/>
    <w:rsid w:val="00030ABE"/>
    <w:rsid w:val="000336BC"/>
    <w:rsid w:val="00033F4F"/>
    <w:rsid w:val="00040C78"/>
    <w:rsid w:val="00047BFD"/>
    <w:rsid w:val="00056850"/>
    <w:rsid w:val="00064E32"/>
    <w:rsid w:val="000844EB"/>
    <w:rsid w:val="00085708"/>
    <w:rsid w:val="000877C8"/>
    <w:rsid w:val="00095A4C"/>
    <w:rsid w:val="000A6C12"/>
    <w:rsid w:val="000B2D21"/>
    <w:rsid w:val="000D3E9D"/>
    <w:rsid w:val="00116254"/>
    <w:rsid w:val="00133A86"/>
    <w:rsid w:val="00146776"/>
    <w:rsid w:val="001538B9"/>
    <w:rsid w:val="00154591"/>
    <w:rsid w:val="001712BD"/>
    <w:rsid w:val="00172C79"/>
    <w:rsid w:val="001819BB"/>
    <w:rsid w:val="00193ED2"/>
    <w:rsid w:val="00196F37"/>
    <w:rsid w:val="00197B4F"/>
    <w:rsid w:val="001A050C"/>
    <w:rsid w:val="001B35DF"/>
    <w:rsid w:val="001C11F6"/>
    <w:rsid w:val="001C1BD7"/>
    <w:rsid w:val="001F3EE1"/>
    <w:rsid w:val="002240DD"/>
    <w:rsid w:val="002315DB"/>
    <w:rsid w:val="002338CA"/>
    <w:rsid w:val="00242551"/>
    <w:rsid w:val="002444B6"/>
    <w:rsid w:val="0025312D"/>
    <w:rsid w:val="002562CC"/>
    <w:rsid w:val="0026007B"/>
    <w:rsid w:val="00265B35"/>
    <w:rsid w:val="00267BF8"/>
    <w:rsid w:val="00272A3E"/>
    <w:rsid w:val="00274B08"/>
    <w:rsid w:val="00275E05"/>
    <w:rsid w:val="00277AB4"/>
    <w:rsid w:val="00277EE6"/>
    <w:rsid w:val="002848F5"/>
    <w:rsid w:val="0028592F"/>
    <w:rsid w:val="00286421"/>
    <w:rsid w:val="002A294D"/>
    <w:rsid w:val="002A2961"/>
    <w:rsid w:val="002A464D"/>
    <w:rsid w:val="002C0FBD"/>
    <w:rsid w:val="002D6CF5"/>
    <w:rsid w:val="002F1197"/>
    <w:rsid w:val="002F45A9"/>
    <w:rsid w:val="00311C8C"/>
    <w:rsid w:val="0031565D"/>
    <w:rsid w:val="00330D7E"/>
    <w:rsid w:val="003356B1"/>
    <w:rsid w:val="003463E2"/>
    <w:rsid w:val="003470BB"/>
    <w:rsid w:val="00361A5B"/>
    <w:rsid w:val="00364588"/>
    <w:rsid w:val="00366C22"/>
    <w:rsid w:val="00382CE4"/>
    <w:rsid w:val="00384955"/>
    <w:rsid w:val="003971E8"/>
    <w:rsid w:val="003B61F5"/>
    <w:rsid w:val="003C05A6"/>
    <w:rsid w:val="003C378F"/>
    <w:rsid w:val="003E2874"/>
    <w:rsid w:val="003E584A"/>
    <w:rsid w:val="003E7C1A"/>
    <w:rsid w:val="0040269E"/>
    <w:rsid w:val="0041045C"/>
    <w:rsid w:val="0041545D"/>
    <w:rsid w:val="00416452"/>
    <w:rsid w:val="00423E63"/>
    <w:rsid w:val="004328BF"/>
    <w:rsid w:val="004336CA"/>
    <w:rsid w:val="0043531B"/>
    <w:rsid w:val="004406A9"/>
    <w:rsid w:val="004537A1"/>
    <w:rsid w:val="0045711F"/>
    <w:rsid w:val="00466DAB"/>
    <w:rsid w:val="004963AE"/>
    <w:rsid w:val="004D0D69"/>
    <w:rsid w:val="004D410C"/>
    <w:rsid w:val="004D6502"/>
    <w:rsid w:val="004E345C"/>
    <w:rsid w:val="00507512"/>
    <w:rsid w:val="00530ABD"/>
    <w:rsid w:val="0054034D"/>
    <w:rsid w:val="00543940"/>
    <w:rsid w:val="00546872"/>
    <w:rsid w:val="00552539"/>
    <w:rsid w:val="005649A4"/>
    <w:rsid w:val="00565CEF"/>
    <w:rsid w:val="00566781"/>
    <w:rsid w:val="005726B3"/>
    <w:rsid w:val="00574B70"/>
    <w:rsid w:val="005A3E6C"/>
    <w:rsid w:val="005E430D"/>
    <w:rsid w:val="005E73E9"/>
    <w:rsid w:val="005F29EC"/>
    <w:rsid w:val="005F4E81"/>
    <w:rsid w:val="005F5EDC"/>
    <w:rsid w:val="005F6333"/>
    <w:rsid w:val="00612483"/>
    <w:rsid w:val="00622B77"/>
    <w:rsid w:val="0063097F"/>
    <w:rsid w:val="00656823"/>
    <w:rsid w:val="00662119"/>
    <w:rsid w:val="00675633"/>
    <w:rsid w:val="00680F6A"/>
    <w:rsid w:val="00682358"/>
    <w:rsid w:val="006832A0"/>
    <w:rsid w:val="00685EB8"/>
    <w:rsid w:val="00691902"/>
    <w:rsid w:val="00693110"/>
    <w:rsid w:val="00697037"/>
    <w:rsid w:val="006A288F"/>
    <w:rsid w:val="006A7341"/>
    <w:rsid w:val="006B2864"/>
    <w:rsid w:val="006D37FE"/>
    <w:rsid w:val="006E0A3B"/>
    <w:rsid w:val="006E2F03"/>
    <w:rsid w:val="006E3016"/>
    <w:rsid w:val="006F546E"/>
    <w:rsid w:val="006F5AC1"/>
    <w:rsid w:val="0070513A"/>
    <w:rsid w:val="007145C4"/>
    <w:rsid w:val="0071745A"/>
    <w:rsid w:val="00724AE7"/>
    <w:rsid w:val="007276F7"/>
    <w:rsid w:val="00730FD1"/>
    <w:rsid w:val="007409DF"/>
    <w:rsid w:val="00752BA9"/>
    <w:rsid w:val="00755246"/>
    <w:rsid w:val="00766794"/>
    <w:rsid w:val="00792349"/>
    <w:rsid w:val="007942F3"/>
    <w:rsid w:val="007A1340"/>
    <w:rsid w:val="007B2A58"/>
    <w:rsid w:val="007B54CF"/>
    <w:rsid w:val="007C3783"/>
    <w:rsid w:val="007D2DF3"/>
    <w:rsid w:val="007D36F0"/>
    <w:rsid w:val="007D425B"/>
    <w:rsid w:val="007D5899"/>
    <w:rsid w:val="007D6F9D"/>
    <w:rsid w:val="007F2671"/>
    <w:rsid w:val="007F65AB"/>
    <w:rsid w:val="00801106"/>
    <w:rsid w:val="00806305"/>
    <w:rsid w:val="00814D50"/>
    <w:rsid w:val="00821978"/>
    <w:rsid w:val="008239F7"/>
    <w:rsid w:val="00825E84"/>
    <w:rsid w:val="00850017"/>
    <w:rsid w:val="008561A6"/>
    <w:rsid w:val="00867F6D"/>
    <w:rsid w:val="00870A85"/>
    <w:rsid w:val="008732B0"/>
    <w:rsid w:val="00874407"/>
    <w:rsid w:val="008768DC"/>
    <w:rsid w:val="0088484E"/>
    <w:rsid w:val="00885E54"/>
    <w:rsid w:val="008B028C"/>
    <w:rsid w:val="008B26DD"/>
    <w:rsid w:val="008B6465"/>
    <w:rsid w:val="008E62A9"/>
    <w:rsid w:val="008F4E2B"/>
    <w:rsid w:val="00907CDC"/>
    <w:rsid w:val="00914946"/>
    <w:rsid w:val="00914CA8"/>
    <w:rsid w:val="009226BB"/>
    <w:rsid w:val="0095416E"/>
    <w:rsid w:val="009556A6"/>
    <w:rsid w:val="00962628"/>
    <w:rsid w:val="00964152"/>
    <w:rsid w:val="00965562"/>
    <w:rsid w:val="00973D1A"/>
    <w:rsid w:val="00974583"/>
    <w:rsid w:val="009770EC"/>
    <w:rsid w:val="009772EC"/>
    <w:rsid w:val="009806D5"/>
    <w:rsid w:val="00981185"/>
    <w:rsid w:val="00983562"/>
    <w:rsid w:val="00987ACB"/>
    <w:rsid w:val="00992D5B"/>
    <w:rsid w:val="009A38C4"/>
    <w:rsid w:val="009A654C"/>
    <w:rsid w:val="009C05C1"/>
    <w:rsid w:val="009C4895"/>
    <w:rsid w:val="009C7125"/>
    <w:rsid w:val="009D18EC"/>
    <w:rsid w:val="009D3A54"/>
    <w:rsid w:val="009D5507"/>
    <w:rsid w:val="009E5A2B"/>
    <w:rsid w:val="009F53D0"/>
    <w:rsid w:val="009F5446"/>
    <w:rsid w:val="009F6BEA"/>
    <w:rsid w:val="00A03E73"/>
    <w:rsid w:val="00A41298"/>
    <w:rsid w:val="00A41C11"/>
    <w:rsid w:val="00A432AD"/>
    <w:rsid w:val="00A54557"/>
    <w:rsid w:val="00A73852"/>
    <w:rsid w:val="00A7738F"/>
    <w:rsid w:val="00A840EE"/>
    <w:rsid w:val="00A8429C"/>
    <w:rsid w:val="00A86C71"/>
    <w:rsid w:val="00A90849"/>
    <w:rsid w:val="00A91358"/>
    <w:rsid w:val="00A91E80"/>
    <w:rsid w:val="00A924C4"/>
    <w:rsid w:val="00AA40C7"/>
    <w:rsid w:val="00AB6467"/>
    <w:rsid w:val="00AD7989"/>
    <w:rsid w:val="00AE44E1"/>
    <w:rsid w:val="00AF1298"/>
    <w:rsid w:val="00AF3D5B"/>
    <w:rsid w:val="00AF53A1"/>
    <w:rsid w:val="00AF54A1"/>
    <w:rsid w:val="00B0133F"/>
    <w:rsid w:val="00B01B4E"/>
    <w:rsid w:val="00B01EB2"/>
    <w:rsid w:val="00B02887"/>
    <w:rsid w:val="00B63BC5"/>
    <w:rsid w:val="00B71A84"/>
    <w:rsid w:val="00B947BA"/>
    <w:rsid w:val="00BA4F52"/>
    <w:rsid w:val="00BB009D"/>
    <w:rsid w:val="00BB61B5"/>
    <w:rsid w:val="00BC0B76"/>
    <w:rsid w:val="00BD0370"/>
    <w:rsid w:val="00BD79B0"/>
    <w:rsid w:val="00BD7B24"/>
    <w:rsid w:val="00BF1985"/>
    <w:rsid w:val="00C10009"/>
    <w:rsid w:val="00C158B9"/>
    <w:rsid w:val="00C2568C"/>
    <w:rsid w:val="00C40B55"/>
    <w:rsid w:val="00C4429E"/>
    <w:rsid w:val="00C57973"/>
    <w:rsid w:val="00C64B36"/>
    <w:rsid w:val="00C66CE3"/>
    <w:rsid w:val="00C73B95"/>
    <w:rsid w:val="00C75677"/>
    <w:rsid w:val="00C7662C"/>
    <w:rsid w:val="00C8137B"/>
    <w:rsid w:val="00C86D8B"/>
    <w:rsid w:val="00C9598E"/>
    <w:rsid w:val="00CA2557"/>
    <w:rsid w:val="00CA471F"/>
    <w:rsid w:val="00CA595F"/>
    <w:rsid w:val="00CC21D7"/>
    <w:rsid w:val="00CD38F7"/>
    <w:rsid w:val="00CE2394"/>
    <w:rsid w:val="00CE7723"/>
    <w:rsid w:val="00CE7ED5"/>
    <w:rsid w:val="00CF1B90"/>
    <w:rsid w:val="00CF4589"/>
    <w:rsid w:val="00D01213"/>
    <w:rsid w:val="00D0287E"/>
    <w:rsid w:val="00D07E44"/>
    <w:rsid w:val="00D1237C"/>
    <w:rsid w:val="00D161D5"/>
    <w:rsid w:val="00D16D0D"/>
    <w:rsid w:val="00D210A8"/>
    <w:rsid w:val="00D25A12"/>
    <w:rsid w:val="00D34EA4"/>
    <w:rsid w:val="00D36B00"/>
    <w:rsid w:val="00D40B6A"/>
    <w:rsid w:val="00D51126"/>
    <w:rsid w:val="00D52139"/>
    <w:rsid w:val="00D70780"/>
    <w:rsid w:val="00D76E7A"/>
    <w:rsid w:val="00D900B0"/>
    <w:rsid w:val="00D972F8"/>
    <w:rsid w:val="00DB120E"/>
    <w:rsid w:val="00DB246F"/>
    <w:rsid w:val="00DC1683"/>
    <w:rsid w:val="00DC1706"/>
    <w:rsid w:val="00DC2F5E"/>
    <w:rsid w:val="00DC49B3"/>
    <w:rsid w:val="00DD617E"/>
    <w:rsid w:val="00DE7273"/>
    <w:rsid w:val="00DF20B3"/>
    <w:rsid w:val="00E01165"/>
    <w:rsid w:val="00E0329B"/>
    <w:rsid w:val="00E06885"/>
    <w:rsid w:val="00E1779E"/>
    <w:rsid w:val="00E2229D"/>
    <w:rsid w:val="00E37D22"/>
    <w:rsid w:val="00E472DA"/>
    <w:rsid w:val="00E5030F"/>
    <w:rsid w:val="00E503F9"/>
    <w:rsid w:val="00E55B08"/>
    <w:rsid w:val="00E55B5D"/>
    <w:rsid w:val="00E66099"/>
    <w:rsid w:val="00E75EFA"/>
    <w:rsid w:val="00E76599"/>
    <w:rsid w:val="00E84E9E"/>
    <w:rsid w:val="00E86AE5"/>
    <w:rsid w:val="00E9031A"/>
    <w:rsid w:val="00E90999"/>
    <w:rsid w:val="00E94991"/>
    <w:rsid w:val="00E97784"/>
    <w:rsid w:val="00EB3A34"/>
    <w:rsid w:val="00EB5AB0"/>
    <w:rsid w:val="00EB6D63"/>
    <w:rsid w:val="00EC65D9"/>
    <w:rsid w:val="00EF058E"/>
    <w:rsid w:val="00F007C5"/>
    <w:rsid w:val="00F0226B"/>
    <w:rsid w:val="00F201AF"/>
    <w:rsid w:val="00F337BF"/>
    <w:rsid w:val="00F36E41"/>
    <w:rsid w:val="00F625D2"/>
    <w:rsid w:val="00F62F27"/>
    <w:rsid w:val="00F63CF6"/>
    <w:rsid w:val="00F83B16"/>
    <w:rsid w:val="00F85304"/>
    <w:rsid w:val="00F9336B"/>
    <w:rsid w:val="00FA3E0A"/>
    <w:rsid w:val="00FA74BE"/>
    <w:rsid w:val="00FB1469"/>
    <w:rsid w:val="00FB3E10"/>
    <w:rsid w:val="00FB5CED"/>
    <w:rsid w:val="00FB731C"/>
    <w:rsid w:val="00FC7C96"/>
    <w:rsid w:val="00FD26C5"/>
    <w:rsid w:val="00FD2BAB"/>
    <w:rsid w:val="00FE0C02"/>
    <w:rsid w:val="00FE1C75"/>
    <w:rsid w:val="00FE23DE"/>
    <w:rsid w:val="00FE31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9714"/>
  <w15:docId w15:val="{B6C59600-B9DB-4D98-B6F2-315AB447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qFormat="1"/>
    <w:lsdException w:name="heading 3" w:semiHidden="1"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qFormat/>
    <w:rsid w:val="00154591"/>
    <w:pPr>
      <w:spacing w:after="0" w:line="240" w:lineRule="auto"/>
    </w:pPr>
    <w:rPr>
      <w:rFonts w:eastAsia="Arial"/>
      <w:lang w:eastAsia="en-GB"/>
    </w:rPr>
  </w:style>
  <w:style w:type="paragraph" w:styleId="Heading3">
    <w:name w:val="heading 3"/>
    <w:basedOn w:val="Normal"/>
    <w:next w:val="Normal"/>
    <w:link w:val="Heading3Char"/>
    <w:uiPriority w:val="9"/>
    <w:semiHidden/>
    <w:unhideWhenUsed/>
    <w:qFormat/>
    <w:rsid w:val="00FB1469"/>
    <w:pPr>
      <w:keepNext/>
      <w:keepLines/>
      <w:spacing w:before="40" w:line="280" w:lineRule="exact"/>
      <w:outlineLvl w:val="2"/>
    </w:pPr>
    <w:rPr>
      <w:rFonts w:asciiTheme="majorHAnsi" w:eastAsiaTheme="majorEastAsia" w:hAnsiTheme="majorHAnsi" w:cstheme="majorBidi"/>
      <w:color w:val="001229"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30ABD"/>
    <w:pPr>
      <w:spacing w:after="0" w:line="240" w:lineRule="auto"/>
      <w:jc w:val="center"/>
    </w:pPr>
  </w:style>
  <w:style w:type="character" w:customStyle="1" w:styleId="HeaderChar">
    <w:name w:val="Header Char"/>
    <w:basedOn w:val="DefaultParagraphFont"/>
    <w:link w:val="Header"/>
    <w:uiPriority w:val="99"/>
    <w:semiHidden/>
    <w:rsid w:val="00530ABD"/>
  </w:style>
  <w:style w:type="paragraph" w:styleId="Footer">
    <w:name w:val="footer"/>
    <w:link w:val="FooterChar"/>
    <w:uiPriority w:val="99"/>
    <w:rsid w:val="00154591"/>
    <w:pPr>
      <w:spacing w:after="0" w:line="240" w:lineRule="auto"/>
      <w:jc w:val="center"/>
    </w:pPr>
  </w:style>
  <w:style w:type="character" w:customStyle="1" w:styleId="FooterChar">
    <w:name w:val="Footer Char"/>
    <w:basedOn w:val="DefaultParagraphFont"/>
    <w:link w:val="Footer"/>
    <w:uiPriority w:val="99"/>
    <w:rsid w:val="00154591"/>
  </w:style>
  <w:style w:type="paragraph" w:styleId="BalloonText">
    <w:name w:val="Balloon Text"/>
    <w:basedOn w:val="Normal"/>
    <w:link w:val="BalloonTextChar"/>
    <w:uiPriority w:val="99"/>
    <w:semiHidden/>
    <w:rsid w:val="00F62F27"/>
    <w:rPr>
      <w:rFonts w:ascii="Tahoma" w:hAnsi="Tahoma" w:cs="Tahoma"/>
      <w:sz w:val="16"/>
      <w:szCs w:val="16"/>
    </w:rPr>
  </w:style>
  <w:style w:type="character" w:customStyle="1" w:styleId="BalloonTextChar">
    <w:name w:val="Balloon Text Char"/>
    <w:basedOn w:val="DefaultParagraphFont"/>
    <w:link w:val="BalloonText"/>
    <w:uiPriority w:val="99"/>
    <w:semiHidden/>
    <w:rsid w:val="00530ABD"/>
    <w:rPr>
      <w:rFonts w:ascii="Tahoma" w:eastAsia="Arial" w:hAnsi="Tahoma" w:cs="Tahoma"/>
      <w:sz w:val="16"/>
      <w:szCs w:val="16"/>
      <w:lang w:eastAsia="en-GB"/>
    </w:rPr>
  </w:style>
  <w:style w:type="paragraph" w:styleId="BodyText">
    <w:name w:val="Body Text"/>
    <w:link w:val="BodyTextChar"/>
    <w:uiPriority w:val="1"/>
    <w:qFormat/>
    <w:rsid w:val="00530ABD"/>
    <w:pPr>
      <w:spacing w:after="0" w:line="240" w:lineRule="auto"/>
    </w:pPr>
    <w:rPr>
      <w:rFonts w:eastAsia="Arial"/>
      <w:lang w:eastAsia="en-GB"/>
    </w:rPr>
  </w:style>
  <w:style w:type="character" w:customStyle="1" w:styleId="BodyTextChar">
    <w:name w:val="Body Text Char"/>
    <w:basedOn w:val="DefaultParagraphFont"/>
    <w:link w:val="BodyText"/>
    <w:uiPriority w:val="1"/>
    <w:rsid w:val="00530ABD"/>
    <w:rPr>
      <w:rFonts w:eastAsia="Arial"/>
      <w:lang w:eastAsia="en-GB"/>
    </w:rPr>
  </w:style>
  <w:style w:type="character" w:styleId="Hyperlink">
    <w:name w:val="Hyperlink"/>
    <w:basedOn w:val="DefaultParagraphFont"/>
    <w:uiPriority w:val="99"/>
    <w:semiHidden/>
    <w:rsid w:val="0045711F"/>
    <w:rPr>
      <w:color w:val="00B2E3" w:themeColor="hyperlink"/>
      <w:u w:val="single"/>
    </w:rPr>
  </w:style>
  <w:style w:type="character" w:styleId="UnresolvedMention">
    <w:name w:val="Unresolved Mention"/>
    <w:basedOn w:val="DefaultParagraphFont"/>
    <w:uiPriority w:val="99"/>
    <w:semiHidden/>
    <w:rsid w:val="0045711F"/>
    <w:rPr>
      <w:color w:val="605E5C"/>
      <w:shd w:val="clear" w:color="auto" w:fill="E1DFDD"/>
    </w:rPr>
  </w:style>
  <w:style w:type="character" w:styleId="FollowedHyperlink">
    <w:name w:val="FollowedHyperlink"/>
    <w:basedOn w:val="DefaultParagraphFont"/>
    <w:uiPriority w:val="99"/>
    <w:semiHidden/>
    <w:rsid w:val="00BD79B0"/>
    <w:rPr>
      <w:color w:val="EF4B81" w:themeColor="followedHyperlink"/>
      <w:u w:val="single"/>
    </w:rPr>
  </w:style>
  <w:style w:type="paragraph" w:styleId="NormalWeb">
    <w:name w:val="Normal (Web)"/>
    <w:basedOn w:val="Normal"/>
    <w:uiPriority w:val="99"/>
    <w:semiHidden/>
    <w:unhideWhenUsed/>
    <w:rsid w:val="00F201A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B1469"/>
    <w:rPr>
      <w:rFonts w:asciiTheme="majorHAnsi" w:eastAsiaTheme="majorEastAsia" w:hAnsiTheme="majorHAnsi" w:cstheme="majorBidi"/>
      <w:color w:val="001229" w:themeColor="accent1" w:themeShade="7F"/>
    </w:rPr>
  </w:style>
  <w:style w:type="table" w:styleId="TableGrid">
    <w:name w:val="Table Grid"/>
    <w:basedOn w:val="TableNormal"/>
    <w:uiPriority w:val="59"/>
    <w:rsid w:val="00FB1469"/>
    <w:pPr>
      <w:spacing w:after="0" w:line="240" w:lineRule="auto"/>
    </w:pPr>
    <w:rPr>
      <w:rFonts w:ascii="Arial Narrow" w:eastAsia="Times New Roman" w:hAnsi="Arial Narrow"/>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1469"/>
    <w:rPr>
      <w:sz w:val="16"/>
      <w:szCs w:val="16"/>
    </w:rPr>
  </w:style>
  <w:style w:type="paragraph" w:styleId="CommentText">
    <w:name w:val="annotation text"/>
    <w:basedOn w:val="Normal"/>
    <w:link w:val="CommentTextChar"/>
    <w:uiPriority w:val="99"/>
    <w:unhideWhenUsed/>
    <w:rsid w:val="00FB1469"/>
    <w:rPr>
      <w:rFonts w:ascii="Calibri" w:eastAsia="Times New Roman" w:hAnsi="Calibri"/>
      <w:sz w:val="20"/>
      <w:szCs w:val="20"/>
    </w:rPr>
  </w:style>
  <w:style w:type="character" w:customStyle="1" w:styleId="CommentTextChar">
    <w:name w:val="Comment Text Char"/>
    <w:basedOn w:val="DefaultParagraphFont"/>
    <w:link w:val="CommentText"/>
    <w:uiPriority w:val="99"/>
    <w:rsid w:val="00FB1469"/>
    <w:rPr>
      <w:rFonts w:ascii="Calibri" w:eastAsia="Times New Roman" w:hAnsi="Calibri"/>
      <w:sz w:val="20"/>
      <w:szCs w:val="20"/>
      <w:lang w:eastAsia="en-GB"/>
    </w:rPr>
  </w:style>
  <w:style w:type="paragraph" w:customStyle="1" w:styleId="CSHRBodyText">
    <w:name w:val="CSHR Body Text"/>
    <w:basedOn w:val="Normal"/>
    <w:rsid w:val="00FB1469"/>
    <w:pPr>
      <w:spacing w:after="240"/>
    </w:pPr>
    <w:rPr>
      <w:rFonts w:eastAsia="Times New Roman" w:cs="Times New Roman"/>
      <w:color w:val="000000"/>
      <w:szCs w:val="20"/>
    </w:rPr>
  </w:style>
  <w:style w:type="paragraph" w:styleId="ListParagraph">
    <w:name w:val="List Paragraph"/>
    <w:basedOn w:val="Normal"/>
    <w:uiPriority w:val="99"/>
    <w:semiHidden/>
    <w:qFormat/>
    <w:rsid w:val="00806305"/>
    <w:pPr>
      <w:ind w:left="720"/>
      <w:contextualSpacing/>
    </w:pPr>
  </w:style>
  <w:style w:type="paragraph" w:styleId="Revision">
    <w:name w:val="Revision"/>
    <w:hidden/>
    <w:uiPriority w:val="99"/>
    <w:semiHidden/>
    <w:rsid w:val="00B01B4E"/>
    <w:pPr>
      <w:spacing w:after="0" w:line="240" w:lineRule="auto"/>
    </w:pPr>
    <w:rPr>
      <w:rFonts w:eastAsia="Arial"/>
      <w:lang w:eastAsia="en-GB"/>
    </w:rPr>
  </w:style>
  <w:style w:type="paragraph" w:styleId="CommentSubject">
    <w:name w:val="annotation subject"/>
    <w:basedOn w:val="CommentText"/>
    <w:next w:val="CommentText"/>
    <w:link w:val="CommentSubjectChar"/>
    <w:uiPriority w:val="99"/>
    <w:semiHidden/>
    <w:rsid w:val="007409DF"/>
    <w:rPr>
      <w:rFonts w:ascii="Arial" w:eastAsia="Arial" w:hAnsi="Arial"/>
      <w:b/>
      <w:bCs/>
    </w:rPr>
  </w:style>
  <w:style w:type="character" w:customStyle="1" w:styleId="CommentSubjectChar">
    <w:name w:val="Comment Subject Char"/>
    <w:basedOn w:val="CommentTextChar"/>
    <w:link w:val="CommentSubject"/>
    <w:uiPriority w:val="99"/>
    <w:semiHidden/>
    <w:rsid w:val="007409DF"/>
    <w:rPr>
      <w:rFonts w:ascii="Calibri" w:eastAsia="Arial" w:hAnsi="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3149">
      <w:bodyDiv w:val="1"/>
      <w:marLeft w:val="0"/>
      <w:marRight w:val="0"/>
      <w:marTop w:val="0"/>
      <w:marBottom w:val="0"/>
      <w:divBdr>
        <w:top w:val="none" w:sz="0" w:space="0" w:color="auto"/>
        <w:left w:val="none" w:sz="0" w:space="0" w:color="auto"/>
        <w:bottom w:val="none" w:sz="0" w:space="0" w:color="auto"/>
        <w:right w:val="none" w:sz="0" w:space="0" w:color="auto"/>
      </w:divBdr>
    </w:div>
    <w:div w:id="359204694">
      <w:bodyDiv w:val="1"/>
      <w:marLeft w:val="0"/>
      <w:marRight w:val="0"/>
      <w:marTop w:val="0"/>
      <w:marBottom w:val="0"/>
      <w:divBdr>
        <w:top w:val="none" w:sz="0" w:space="0" w:color="auto"/>
        <w:left w:val="none" w:sz="0" w:space="0" w:color="auto"/>
        <w:bottom w:val="none" w:sz="0" w:space="0" w:color="auto"/>
        <w:right w:val="none" w:sz="0" w:space="0" w:color="auto"/>
      </w:divBdr>
    </w:div>
    <w:div w:id="12389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mhclg%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ne\AppData\Local\Microsoft\Windows\INetCache\Content.Outlook\H7S258JS\DLUHC%20letterhead%20template%20(005).dotx" TargetMode="External"/></Relationships>
</file>

<file path=word/theme/theme1.xml><?xml version="1.0" encoding="utf-8"?>
<a:theme xmlns:a="http://schemas.openxmlformats.org/drawingml/2006/main" name="Office Theme">
  <a:themeElements>
    <a:clrScheme name="MLCLG">
      <a:dk1>
        <a:sysClr val="windowText" lastClr="000000"/>
      </a:dk1>
      <a:lt1>
        <a:sysClr val="window" lastClr="FFFFFF"/>
      </a:lt1>
      <a:dk2>
        <a:srgbClr val="000000"/>
      </a:dk2>
      <a:lt2>
        <a:srgbClr val="FFFFFF"/>
      </a:lt2>
      <a:accent1>
        <a:srgbClr val="002554"/>
      </a:accent1>
      <a:accent2>
        <a:srgbClr val="00B2E3"/>
      </a:accent2>
      <a:accent3>
        <a:srgbClr val="38D430"/>
      </a:accent3>
      <a:accent4>
        <a:srgbClr val="FFE800"/>
      </a:accent4>
      <a:accent5>
        <a:srgbClr val="EF4B81"/>
      </a:accent5>
      <a:accent6>
        <a:srgbClr val="FFAB4D"/>
      </a:accent6>
      <a:hlink>
        <a:srgbClr val="00B2E3"/>
      </a:hlink>
      <a:folHlink>
        <a:srgbClr val="EF4B81"/>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5918C82E43D409B2AA457CC1C113E" ma:contentTypeVersion="5" ma:contentTypeDescription="Create a new document." ma:contentTypeScope="" ma:versionID="0030a114f073966388a19e1cdecc98af">
  <xsd:schema xmlns:xsd="http://www.w3.org/2001/XMLSchema" xmlns:xs="http://www.w3.org/2001/XMLSchema" xmlns:p="http://schemas.microsoft.com/office/2006/metadata/properties" xmlns:ns1="http://schemas.microsoft.com/sharepoint/v3" xmlns:ns2="c8dff81a-0367-4fbc-9f10-b74b794eda9b" targetNamespace="http://schemas.microsoft.com/office/2006/metadata/properties" ma:root="true" ma:fieldsID="9e1dc1dfddd1c06bac7abcf6aff871f2" ns1:_="" ns2:_="">
    <xsd:import namespace="http://schemas.microsoft.com/sharepoint/v3"/>
    <xsd:import namespace="c8dff81a-0367-4fbc-9f10-b74b794ed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ff81a-0367-4fbc-9f10-b74b794e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E0C403-A33D-42F4-BE5F-62EA6784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dff81a-0367-4fbc-9f10-b74b794e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FDA5C-1046-4A3F-B1CA-D85A5F68962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466E541-A553-46C0-90A5-F5613D19AA1D}">
  <ds:schemaRefs>
    <ds:schemaRef ds:uri="http://schemas.openxmlformats.org/officeDocument/2006/bibliography"/>
  </ds:schemaRefs>
</ds:datastoreItem>
</file>

<file path=customXml/itemProps4.xml><?xml version="1.0" encoding="utf-8"?>
<ds:datastoreItem xmlns:ds="http://schemas.openxmlformats.org/officeDocument/2006/customXml" ds:itemID="{A7392454-672F-4C64-87EC-C7AC26544CC1}">
  <ds:schemaRefs>
    <ds:schemaRef ds:uri="http://schemas.microsoft.com/sharepoint/v3/contenttype/forms"/>
  </ds:schemaRefs>
</ds:datastoreItem>
</file>

<file path=customXml/itemProps5.xml><?xml version="1.0" encoding="utf-8"?>
<ds:datastoreItem xmlns:ds="http://schemas.openxmlformats.org/officeDocument/2006/customXml" ds:itemID="{400F2D33-DD08-44C3-9597-6E92C7F9DFD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47d46da-5217-4778-863d-a406d1533580}"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DLUHC letterhead template (005)</Template>
  <TotalTime>0</TotalTime>
  <Pages>4</Pages>
  <Words>1306</Words>
  <Characters>7447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Department for Levelling Up, Housing &amp; Communities</Manager>
  <Company>Department for Levelling Up, Housing &amp; Communities</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[Subtitle or description]</dc:subject>
  <dc:creator>Amy Lane</dc:creator>
  <cp:keywords>Z2509837</cp:keywords>
  <cp:lastModifiedBy>Jane Byrne</cp:lastModifiedBy>
  <cp:revision>2</cp:revision>
  <cp:lastPrinted>2021-09-23T11:54:00Z</cp:lastPrinted>
  <dcterms:created xsi:type="dcterms:W3CDTF">2026-05-06T08:54:00Z</dcterms:created>
  <dcterms:modified xsi:type="dcterms:W3CDTF">2026-05-06T08:54:00Z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015c2f86-724c-40d0-9f37-5b455609eb31</vt:lpwstr>
  </property>
  <property fmtid="{D5CDD505-2E9C-101B-9397-08002B2CF9AE}" pid="3" name="bjDocumentSecurityLabel">
    <vt:lpwstr>No Marking</vt:lpwstr>
  </property>
  <property fmtid="{D5CDD505-2E9C-101B-9397-08002B2CF9AE}" pid="4" name="bjSaver">
    <vt:lpwstr>XHsH0FSvB7jsUL3gCaFBxu8lz9ooLJIL</vt:lpwstr>
  </property>
  <property fmtid="{D5CDD505-2E9C-101B-9397-08002B2CF9AE}" pid="5" name="ContentTypeId">
    <vt:lpwstr>0x010100B235918C82E43D409B2AA457CC1C113E</vt:lpwstr>
  </property>
  <property fmtid="{D5CDD505-2E9C-101B-9397-08002B2CF9AE}" pid="6" name="ClassificationContentMarkingFooterShapeIds">
    <vt:lpwstr>1acf45dd,54ad8dec,4fcb26ba,328b15a7</vt:lpwstr>
  </property>
  <property fmtid="{D5CDD505-2E9C-101B-9397-08002B2CF9AE}" pid="7" name="ClassificationContentMarkingFooterFontProps">
    <vt:lpwstr>#000000,10,Aptos</vt:lpwstr>
  </property>
  <property fmtid="{D5CDD505-2E9C-101B-9397-08002B2CF9AE}" pid="8" name="ClassificationContentMarkingFooterText">
    <vt:lpwstr>OFFICIAL-SENSITIVE</vt:lpwstr>
  </property>
  <property fmtid="{D5CDD505-2E9C-101B-9397-08002B2CF9AE}" pid="9" name="ClassificationContentMarkingHeaderShapeIds">
    <vt:lpwstr>f4fc1cc,669705f8,1587cea5</vt:lpwstr>
  </property>
  <property fmtid="{D5CDD505-2E9C-101B-9397-08002B2CF9AE}" pid="10" name="ClassificationContentMarkingHeaderFontProps">
    <vt:lpwstr>#000000,10,Aptos</vt:lpwstr>
  </property>
  <property fmtid="{D5CDD505-2E9C-101B-9397-08002B2CF9AE}" pid="11" name="ClassificationContentMarkingHeaderText">
    <vt:lpwstr>OFFICIAL-SENSITIVE</vt:lpwstr>
  </property>
  <property fmtid="{D5CDD505-2E9C-101B-9397-08002B2CF9AE}" pid="12" name="DOCID">
    <vt:lpwstr> </vt:lpwstr>
  </property>
  <property fmtid="{D5CDD505-2E9C-101B-9397-08002B2CF9AE}" pid="13" name="COMPANYID">
    <vt:i4>2122615613</vt:i4>
  </property>
  <property fmtid="{D5CDD505-2E9C-101B-9397-08002B2CF9AE}" pid="14" name="SERIALNO">
    <vt:i4>11311</vt:i4>
  </property>
  <property fmtid="{D5CDD505-2E9C-101B-9397-08002B2CF9AE}" pid="15" name="EDITION">
    <vt:lpwstr>FM</vt:lpwstr>
  </property>
  <property fmtid="{D5CDD505-2E9C-101B-9397-08002B2CF9AE}" pid="16" name="CLIENTID">
    <vt:i4>1645</vt:i4>
  </property>
  <property fmtid="{D5CDD505-2E9C-101B-9397-08002B2CF9AE}" pid="17" name="FILEID">
    <vt:i4>376599</vt:i4>
  </property>
  <property fmtid="{D5CDD505-2E9C-101B-9397-08002B2CF9AE}" pid="18" name="ASSOCID">
    <vt:i4>1608058</vt:i4>
  </property>
  <property fmtid="{D5CDD505-2E9C-101B-9397-08002B2CF9AE}" pid="19" name="MediaServiceImageTags">
    <vt:lpwstr/>
  </property>
</Properties>
</file>